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p w14:paraId="76A6DEC5" w14:textId="4AA56D28" w:rsidR="00A62B4C" w:rsidRDefault="00A62B4C" w:rsidP="00A62B4C">
      <w:pPr>
        <w:rPr>
          <w:rFonts w:ascii="Verdana" w:eastAsia="Verdana" w:hAnsi="Verdana" w:cs="Times New Roman"/>
        </w:rPr>
      </w:pP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8F72E5">
      <w:pPr>
        <w:pStyle w:val="Akapitzlist"/>
        <w:numPr>
          <w:ilvl w:val="0"/>
          <w:numId w:val="6"/>
        </w:numPr>
        <w:spacing w:before="120" w:after="0" w:line="276" w:lineRule="auto"/>
        <w:ind w:left="284" w:hanging="284"/>
        <w:jc w:val="both"/>
        <w:outlineLvl w:val="0"/>
        <w:rPr>
          <w:rFonts w:cstheme="minorHAnsi"/>
          <w:b/>
        </w:rPr>
      </w:pPr>
      <w:r w:rsidRPr="004906BC">
        <w:rPr>
          <w:rFonts w:cstheme="minorHAnsi"/>
          <w:b/>
        </w:rPr>
        <w:t>Określenie przedmiotu zakupu</w:t>
      </w:r>
    </w:p>
    <w:p w14:paraId="3646D4BA" w14:textId="58247C43" w:rsidR="008D0EB4" w:rsidRPr="008D0EB4" w:rsidRDefault="008D0EB4" w:rsidP="00FE04AC">
      <w:pPr>
        <w:pStyle w:val="Akapitzlist"/>
        <w:numPr>
          <w:ilvl w:val="1"/>
          <w:numId w:val="19"/>
        </w:numPr>
        <w:spacing w:before="120" w:line="276" w:lineRule="auto"/>
        <w:jc w:val="both"/>
        <w:outlineLvl w:val="0"/>
        <w:rPr>
          <w:rFonts w:cstheme="minorHAnsi"/>
          <w:szCs w:val="18"/>
        </w:rPr>
      </w:pPr>
      <w:r w:rsidRPr="008D0EB4">
        <w:rPr>
          <w:rFonts w:cstheme="minorHAnsi"/>
          <w:szCs w:val="18"/>
        </w:rPr>
        <w:t>Przedmiotem postępowania zakupowego jest wykonanie robót budowlanych w branży elektroenergetycznej pn.</w:t>
      </w:r>
    </w:p>
    <w:p w14:paraId="0B2FB81A" w14:textId="65D7C6EE" w:rsidR="00463679" w:rsidRDefault="008D0EB4" w:rsidP="00286082">
      <w:pPr>
        <w:pStyle w:val="Akapitzlist"/>
        <w:spacing w:before="120" w:line="276" w:lineRule="auto"/>
        <w:ind w:left="284"/>
        <w:jc w:val="center"/>
        <w:outlineLvl w:val="0"/>
        <w:rPr>
          <w:rFonts w:cstheme="minorHAnsi"/>
          <w:b/>
          <w:sz w:val="20"/>
          <w:szCs w:val="20"/>
        </w:rPr>
      </w:pPr>
      <w:r w:rsidRPr="008D0EB4">
        <w:rPr>
          <w:rFonts w:cstheme="minorHAnsi"/>
          <w:b/>
          <w:sz w:val="20"/>
          <w:szCs w:val="20"/>
        </w:rPr>
        <w:t>„</w:t>
      </w:r>
      <w:r w:rsidR="008D4A70" w:rsidRPr="008D4A70">
        <w:rPr>
          <w:rFonts w:cstheme="minorHAnsi"/>
          <w:b/>
          <w:sz w:val="20"/>
          <w:szCs w:val="20"/>
        </w:rPr>
        <w:t>Przebudowa LKSN w relacji: Łódź, st. nr 21324, ul. Lermontowa 10 bl. 358 - st. nr</w:t>
      </w:r>
      <w:r w:rsidR="008D4A70">
        <w:rPr>
          <w:rFonts w:cstheme="minorHAnsi"/>
          <w:b/>
          <w:sz w:val="20"/>
          <w:szCs w:val="20"/>
        </w:rPr>
        <w:t> </w:t>
      </w:r>
      <w:r w:rsidR="008D4A70" w:rsidRPr="008D4A70">
        <w:rPr>
          <w:rFonts w:cstheme="minorHAnsi"/>
          <w:b/>
          <w:sz w:val="20"/>
          <w:szCs w:val="20"/>
        </w:rPr>
        <w:t>21326, ul. Gorkiego 77 bl. 368</w:t>
      </w:r>
      <w:r w:rsidR="00E71FC8">
        <w:rPr>
          <w:rFonts w:cstheme="minorHAnsi"/>
          <w:b/>
          <w:sz w:val="20"/>
          <w:szCs w:val="20"/>
        </w:rPr>
        <w:t>.</w:t>
      </w:r>
      <w:r w:rsidRPr="008D0EB4">
        <w:rPr>
          <w:rFonts w:cstheme="minorHAnsi"/>
          <w:b/>
          <w:sz w:val="20"/>
          <w:szCs w:val="20"/>
        </w:rPr>
        <w:t>”</w:t>
      </w:r>
    </w:p>
    <w:p w14:paraId="69871B2A" w14:textId="6831B501" w:rsidR="001A2A0C" w:rsidRPr="001A2A0C" w:rsidRDefault="008D0EB4" w:rsidP="00FE04AC">
      <w:pPr>
        <w:pStyle w:val="Akapitzlist"/>
        <w:numPr>
          <w:ilvl w:val="1"/>
          <w:numId w:val="19"/>
        </w:numPr>
        <w:spacing w:before="120" w:line="276" w:lineRule="auto"/>
        <w:jc w:val="both"/>
        <w:outlineLvl w:val="0"/>
        <w:rPr>
          <w:rFonts w:cstheme="minorHAnsi"/>
          <w:b/>
          <w:sz w:val="20"/>
          <w:szCs w:val="20"/>
        </w:rPr>
      </w:pPr>
      <w:r w:rsidRPr="001A2A0C">
        <w:rPr>
          <w:rFonts w:cstheme="minorHAnsi"/>
          <w:szCs w:val="18"/>
        </w:rPr>
        <w:t xml:space="preserve">Zakres rzeczowy i asortymentowy robót określa dokumentacja projektowa oraz załącznik nr 1 do SWZ. </w:t>
      </w:r>
      <w:r w:rsidR="001A2A0C">
        <w:rPr>
          <w:rFonts w:cstheme="minorHAnsi"/>
          <w:szCs w:val="18"/>
        </w:rPr>
        <w:br/>
      </w:r>
      <w:r w:rsidRPr="00463679">
        <w:rPr>
          <w:rFonts w:cstheme="minorHAnsi"/>
          <w:b/>
          <w:bCs/>
          <w:szCs w:val="18"/>
          <w:u w:val="single"/>
        </w:rPr>
        <w:t>Niezależnie od powyższego Zamawiający wymaga:</w:t>
      </w:r>
    </w:p>
    <w:p w14:paraId="724D98D2" w14:textId="42E98CEB" w:rsidR="001A2A0C" w:rsidRDefault="001A2A0C" w:rsidP="009E3019">
      <w:pPr>
        <w:pStyle w:val="Akapitzlist"/>
        <w:spacing w:before="120" w:line="276" w:lineRule="auto"/>
        <w:ind w:left="851"/>
        <w:jc w:val="both"/>
        <w:outlineLvl w:val="0"/>
        <w:rPr>
          <w:rFonts w:cstheme="minorHAnsi"/>
          <w:szCs w:val="18"/>
        </w:rPr>
      </w:pPr>
      <w:r w:rsidRPr="001A2A0C">
        <w:rPr>
          <w:rFonts w:cstheme="minorHAnsi"/>
          <w:b/>
          <w:bCs/>
          <w:szCs w:val="18"/>
        </w:rPr>
        <w:t>a)</w:t>
      </w:r>
      <w:r>
        <w:rPr>
          <w:rFonts w:cstheme="minorHAnsi"/>
          <w:szCs w:val="18"/>
        </w:rPr>
        <w:t xml:space="preserve"> </w:t>
      </w:r>
      <w:r w:rsidR="008D0EB4" w:rsidRPr="001A2A0C">
        <w:rPr>
          <w:rFonts w:cstheme="minorHAnsi"/>
          <w:szCs w:val="18"/>
        </w:rPr>
        <w:t xml:space="preserve">w przypadku budowy linii kablowej SN zastosować kabel z żyłą powrotną miedzianą o przekroju </w:t>
      </w:r>
      <w:r w:rsidR="00783D03" w:rsidRPr="001A2A0C">
        <w:rPr>
          <w:rFonts w:cstheme="minorHAnsi"/>
          <w:szCs w:val="18"/>
        </w:rPr>
        <w:br/>
      </w:r>
      <w:r w:rsidR="008D0EB4" w:rsidRPr="001A2A0C">
        <w:rPr>
          <w:rFonts w:cstheme="minorHAnsi"/>
          <w:szCs w:val="18"/>
        </w:rPr>
        <w:t>25</w:t>
      </w:r>
      <w:r w:rsidR="00783D03" w:rsidRPr="001A2A0C">
        <w:rPr>
          <w:rFonts w:cstheme="minorHAnsi"/>
          <w:szCs w:val="18"/>
        </w:rPr>
        <w:t xml:space="preserve"> </w:t>
      </w:r>
      <w:r w:rsidR="008D0EB4" w:rsidRPr="001A2A0C">
        <w:rPr>
          <w:rFonts w:cstheme="minorHAnsi"/>
          <w:szCs w:val="18"/>
        </w:rPr>
        <w:t>mm</w:t>
      </w:r>
      <w:r w:rsidR="008D0EB4" w:rsidRPr="001A2A0C">
        <w:rPr>
          <w:rFonts w:cstheme="minorHAnsi"/>
          <w:szCs w:val="18"/>
          <w:vertAlign w:val="superscript"/>
        </w:rPr>
        <w:t>2</w:t>
      </w:r>
      <w:r w:rsidR="008D0EB4" w:rsidRPr="001A2A0C">
        <w:rPr>
          <w:rFonts w:cstheme="minorHAnsi"/>
          <w:szCs w:val="18"/>
        </w:rPr>
        <w:t xml:space="preserve">, co jest zgodne z treścią Wytycznych do budowy systemów elektroenergetycznych w PGE Dystrybucja S.A. w tomie pn. „Linie kablowe średniego napięcia – tom 4 – SUPLEMENT DO TOM 4”, </w:t>
      </w:r>
      <w:r w:rsidR="00463679">
        <w:rPr>
          <w:rFonts w:cstheme="minorHAnsi"/>
          <w:szCs w:val="18"/>
        </w:rPr>
        <w:br/>
      </w:r>
      <w:r w:rsidR="008D0EB4" w:rsidRPr="001A2A0C">
        <w:rPr>
          <w:rFonts w:cstheme="minorHAnsi"/>
          <w:szCs w:val="18"/>
        </w:rPr>
        <w:t>o ile nie zachodzi szczególne uwarunkowanie techniczne do zastosowania większego przekroju opisane w „wytycznych”</w:t>
      </w:r>
    </w:p>
    <w:p w14:paraId="20E5A51C" w14:textId="4074BA29" w:rsidR="008D0EB4" w:rsidRPr="001A2A0C" w:rsidRDefault="001A2A0C" w:rsidP="009E3019">
      <w:pPr>
        <w:pStyle w:val="Akapitzlist"/>
        <w:spacing w:before="120" w:line="276" w:lineRule="auto"/>
        <w:ind w:left="851"/>
        <w:jc w:val="both"/>
        <w:outlineLvl w:val="0"/>
        <w:rPr>
          <w:rFonts w:cstheme="minorHAnsi"/>
          <w:szCs w:val="18"/>
        </w:rPr>
      </w:pPr>
      <w:r w:rsidRPr="001A2A0C">
        <w:rPr>
          <w:rFonts w:cstheme="minorHAnsi"/>
          <w:b/>
          <w:bCs/>
          <w:szCs w:val="18"/>
        </w:rPr>
        <w:t>b)</w:t>
      </w:r>
      <w:r>
        <w:rPr>
          <w:rFonts w:cstheme="minorHAnsi"/>
          <w:szCs w:val="18"/>
        </w:rPr>
        <w:t xml:space="preserve"> </w:t>
      </w:r>
      <w:r w:rsidR="008D0EB4" w:rsidRPr="001A2A0C">
        <w:rPr>
          <w:rFonts w:cstheme="minorHAnsi"/>
          <w:szCs w:val="18"/>
        </w:rPr>
        <w:t>w przypadku budowy stacji SN/nN oraz złącza SN wyposażenie musi  być zgodne z treścią Wytycznych do budowy systemów elektroenergetycznych w PGE Dystrybucja S.A. w tomie pn. „Standardy techniczne złączy kablowych SN w PGE Dystrybucja S.A.”, „Standardy techniczne stacji transformatorowych wnętrzowych SN/nN w PGE Dystrybucja S.A.”</w:t>
      </w:r>
    </w:p>
    <w:p w14:paraId="4EE63E45" w14:textId="77777777" w:rsidR="00FE04AC" w:rsidRDefault="008D0EB4" w:rsidP="00FE04AC">
      <w:pPr>
        <w:pStyle w:val="Akapitzlist"/>
        <w:numPr>
          <w:ilvl w:val="1"/>
          <w:numId w:val="21"/>
        </w:numPr>
        <w:spacing w:before="120" w:line="276" w:lineRule="auto"/>
        <w:jc w:val="both"/>
        <w:outlineLvl w:val="0"/>
        <w:rPr>
          <w:rFonts w:cstheme="minorHAnsi"/>
          <w:szCs w:val="18"/>
        </w:rPr>
      </w:pPr>
      <w:r w:rsidRPr="008D0EB4">
        <w:rPr>
          <w:rFonts w:cstheme="minorHAnsi"/>
          <w:szCs w:val="18"/>
        </w:rPr>
        <w:t xml:space="preserve">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t>
      </w:r>
      <w:r w:rsidR="00463679">
        <w:rPr>
          <w:rFonts w:cstheme="minorHAnsi"/>
          <w:szCs w:val="18"/>
        </w:rPr>
        <w:br/>
      </w:r>
      <w:r w:rsidRPr="008D0EB4">
        <w:rPr>
          <w:rFonts w:cstheme="minorHAnsi"/>
          <w:szCs w:val="18"/>
        </w:rPr>
        <w:t>w dokumentacji.</w:t>
      </w:r>
    </w:p>
    <w:p w14:paraId="67B08E6A" w14:textId="77777777" w:rsidR="00FE04AC" w:rsidRDefault="008D0EB4" w:rsidP="00FE04AC">
      <w:pPr>
        <w:pStyle w:val="Akapitzlist"/>
        <w:numPr>
          <w:ilvl w:val="1"/>
          <w:numId w:val="21"/>
        </w:numPr>
        <w:spacing w:before="120" w:line="276" w:lineRule="auto"/>
        <w:jc w:val="both"/>
        <w:outlineLvl w:val="0"/>
        <w:rPr>
          <w:rFonts w:cstheme="minorHAnsi"/>
          <w:szCs w:val="18"/>
        </w:rPr>
      </w:pPr>
      <w:r w:rsidRPr="00FE04AC">
        <w:rPr>
          <w:rFonts w:cstheme="minorHAnsi"/>
          <w:bCs/>
          <w:szCs w:val="18"/>
        </w:rPr>
        <w:t xml:space="preserve">W przypadku oferowania rozwiązań równoważnych w stosunku do rozwiązań określonych </w:t>
      </w:r>
      <w:r w:rsidR="00463679" w:rsidRPr="00FE04AC">
        <w:rPr>
          <w:rFonts w:cstheme="minorHAnsi"/>
          <w:bCs/>
          <w:szCs w:val="18"/>
        </w:rPr>
        <w:br/>
      </w:r>
      <w:r w:rsidRPr="00FE04AC">
        <w:rPr>
          <w:rFonts w:cstheme="minorHAnsi"/>
          <w:bCs/>
          <w:szCs w:val="18"/>
        </w:rPr>
        <w:t>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678841A5" w14:textId="67DB6B4E" w:rsidR="00FE04AC" w:rsidRPr="009E3019" w:rsidRDefault="00FE04AC" w:rsidP="00FE04AC">
      <w:pPr>
        <w:pStyle w:val="Akapitzlist"/>
        <w:numPr>
          <w:ilvl w:val="1"/>
          <w:numId w:val="21"/>
        </w:numPr>
        <w:spacing w:before="120" w:line="276" w:lineRule="auto"/>
        <w:jc w:val="both"/>
        <w:outlineLvl w:val="0"/>
        <w:rPr>
          <w:rFonts w:cstheme="minorHAnsi"/>
          <w:szCs w:val="18"/>
        </w:rPr>
      </w:pPr>
      <w:r w:rsidRPr="009E3019">
        <w:rPr>
          <w:rFonts w:cstheme="minorHAnsi"/>
          <w:szCs w:val="18"/>
        </w:rPr>
        <w:t>Opis zadania.</w:t>
      </w:r>
    </w:p>
    <w:p w14:paraId="6CAF22D9" w14:textId="7F4FFD14" w:rsidR="009E3019" w:rsidRPr="00286082" w:rsidRDefault="009E3019" w:rsidP="00286082">
      <w:pPr>
        <w:pStyle w:val="Akapitzlist"/>
        <w:ind w:left="426"/>
        <w:rPr>
          <w:rFonts w:cstheme="minorHAnsi"/>
          <w:szCs w:val="18"/>
        </w:rPr>
      </w:pPr>
      <w:r>
        <w:rPr>
          <w:rFonts w:cstheme="minorHAnsi"/>
          <w:szCs w:val="18"/>
        </w:rPr>
        <w:tab/>
      </w:r>
      <w:r w:rsidR="00FE04AC" w:rsidRPr="009E3019">
        <w:rPr>
          <w:rFonts w:cstheme="minorHAnsi"/>
          <w:szCs w:val="18"/>
        </w:rPr>
        <w:t>Realizacja robót budowlanych w zakresie:</w:t>
      </w:r>
    </w:p>
    <w:p w14:paraId="15D8D6DF" w14:textId="48C07ACC" w:rsidR="009E3019" w:rsidRPr="00286082" w:rsidRDefault="009E3019" w:rsidP="009E3019">
      <w:pPr>
        <w:numPr>
          <w:ilvl w:val="0"/>
          <w:numId w:val="17"/>
        </w:numPr>
        <w:jc w:val="both"/>
        <w:rPr>
          <w:rFonts w:ascii="Verdana" w:eastAsia="Verdana" w:hAnsi="Verdana" w:cs="Times New Roman"/>
        </w:rPr>
      </w:pPr>
      <w:r w:rsidRPr="00286082">
        <w:rPr>
          <w:rFonts w:ascii="Verdana" w:eastAsia="Verdana" w:hAnsi="Verdana" w:cs="Times New Roman"/>
        </w:rPr>
        <w:t>Linia kablowa SN typu 3 x XRUHAKXS 1</w:t>
      </w:r>
      <w:r w:rsidR="00286082" w:rsidRPr="00286082">
        <w:rPr>
          <w:rFonts w:ascii="Verdana" w:eastAsia="Verdana" w:hAnsi="Verdana" w:cs="Times New Roman"/>
        </w:rPr>
        <w:t>x120/</w:t>
      </w:r>
      <w:r w:rsidR="00880115">
        <w:rPr>
          <w:rFonts w:ascii="Verdana" w:eastAsia="Verdana" w:hAnsi="Verdana" w:cs="Times New Roman"/>
        </w:rPr>
        <w:t>50</w:t>
      </w:r>
      <w:r w:rsidRPr="00286082">
        <w:rPr>
          <w:rFonts w:ascii="Verdana" w:eastAsia="Verdana" w:hAnsi="Verdana" w:cs="Times New Roman"/>
        </w:rPr>
        <w:t xml:space="preserve"> mm</w:t>
      </w:r>
      <w:r w:rsidRPr="00286082">
        <w:rPr>
          <w:rFonts w:ascii="Verdana" w:eastAsia="Verdana" w:hAnsi="Verdana" w:cs="Times New Roman"/>
          <w:vertAlign w:val="superscript"/>
        </w:rPr>
        <w:t>2</w:t>
      </w:r>
      <w:r w:rsidRPr="00286082">
        <w:rPr>
          <w:rFonts w:ascii="Verdana" w:eastAsia="Verdana" w:hAnsi="Verdana" w:cs="Times New Roman"/>
        </w:rPr>
        <w:t xml:space="preserve"> – długość </w:t>
      </w:r>
      <w:r w:rsidR="00880115">
        <w:rPr>
          <w:rFonts w:ascii="Verdana" w:eastAsia="Verdana" w:hAnsi="Verdana" w:cs="Times New Roman"/>
        </w:rPr>
        <w:t>3</w:t>
      </w:r>
      <w:r w:rsidR="008D4A70">
        <w:rPr>
          <w:rFonts w:ascii="Verdana" w:eastAsia="Verdana" w:hAnsi="Verdana" w:cs="Times New Roman"/>
        </w:rPr>
        <w:t>70</w:t>
      </w:r>
      <w:r w:rsidRPr="00286082">
        <w:rPr>
          <w:rFonts w:ascii="Verdana" w:eastAsia="Verdana" w:hAnsi="Verdana" w:cs="Times New Roman"/>
        </w:rPr>
        <w:t xml:space="preserve"> m,</w:t>
      </w:r>
    </w:p>
    <w:p w14:paraId="3AB7DC30" w14:textId="49973231" w:rsidR="009E3019" w:rsidRPr="00286082" w:rsidRDefault="009E3019" w:rsidP="009E3019">
      <w:pPr>
        <w:numPr>
          <w:ilvl w:val="0"/>
          <w:numId w:val="17"/>
        </w:numPr>
        <w:jc w:val="both"/>
        <w:rPr>
          <w:rFonts w:ascii="Verdana" w:eastAsia="Verdana" w:hAnsi="Verdana" w:cs="Times New Roman"/>
        </w:rPr>
      </w:pPr>
      <w:r w:rsidRPr="00286082">
        <w:rPr>
          <w:rFonts w:ascii="Verdana" w:eastAsia="Verdana" w:hAnsi="Verdana" w:cs="Times New Roman"/>
        </w:rPr>
        <w:t>Zestaw</w:t>
      </w:r>
      <w:r w:rsidR="00286082" w:rsidRPr="00286082">
        <w:rPr>
          <w:rFonts w:ascii="Verdana" w:eastAsia="Verdana" w:hAnsi="Verdana" w:cs="Times New Roman"/>
        </w:rPr>
        <w:t>y</w:t>
      </w:r>
      <w:r w:rsidRPr="00286082">
        <w:rPr>
          <w:rFonts w:ascii="Verdana" w:eastAsia="Verdana" w:hAnsi="Verdana" w:cs="Times New Roman"/>
        </w:rPr>
        <w:t xml:space="preserve"> </w:t>
      </w:r>
      <w:r w:rsidR="00286082" w:rsidRPr="00286082">
        <w:rPr>
          <w:rFonts w:ascii="Verdana" w:eastAsia="Verdana" w:hAnsi="Verdana" w:cs="Times New Roman"/>
        </w:rPr>
        <w:t>głowic</w:t>
      </w:r>
      <w:r w:rsidRPr="00286082">
        <w:rPr>
          <w:rFonts w:ascii="Verdana" w:eastAsia="Verdana" w:hAnsi="Verdana" w:cs="Times New Roman"/>
        </w:rPr>
        <w:t xml:space="preserve"> kablowych SN,</w:t>
      </w:r>
    </w:p>
    <w:p w14:paraId="3A86F99A" w14:textId="4F43AFD7" w:rsidR="009E3019" w:rsidRPr="00286082" w:rsidRDefault="00286082" w:rsidP="009E3019">
      <w:pPr>
        <w:numPr>
          <w:ilvl w:val="0"/>
          <w:numId w:val="17"/>
        </w:numPr>
        <w:jc w:val="both"/>
        <w:rPr>
          <w:rFonts w:ascii="Verdana" w:eastAsia="Verdana" w:hAnsi="Verdana" w:cs="Times New Roman"/>
        </w:rPr>
      </w:pPr>
      <w:r w:rsidRPr="00286082">
        <w:rPr>
          <w:rFonts w:ascii="Verdana" w:eastAsia="Verdana" w:hAnsi="Verdana" w:cs="Times New Roman"/>
        </w:rPr>
        <w:t>Demontaż linii kablowej SN.</w:t>
      </w:r>
    </w:p>
    <w:p w14:paraId="27116EA1" w14:textId="662F5D5E" w:rsidR="00FE04AC" w:rsidRPr="00286082" w:rsidRDefault="00FE04AC" w:rsidP="009E3019">
      <w:pPr>
        <w:pStyle w:val="Akapitzlist"/>
        <w:numPr>
          <w:ilvl w:val="1"/>
          <w:numId w:val="22"/>
        </w:numPr>
        <w:spacing w:after="0" w:line="288" w:lineRule="auto"/>
        <w:jc w:val="both"/>
        <w:rPr>
          <w:rFonts w:cstheme="minorHAnsi"/>
          <w:szCs w:val="18"/>
        </w:rPr>
      </w:pPr>
      <w:r w:rsidRPr="00286082">
        <w:rPr>
          <w:rFonts w:cstheme="minorHAnsi"/>
          <w:szCs w:val="18"/>
        </w:rPr>
        <w:t>Dostawa inwestorska:</w:t>
      </w:r>
    </w:p>
    <w:p w14:paraId="7EF0E951" w14:textId="2A32E2C7" w:rsidR="009E3019" w:rsidRPr="00286082" w:rsidRDefault="00286082" w:rsidP="009E3019">
      <w:pPr>
        <w:numPr>
          <w:ilvl w:val="0"/>
          <w:numId w:val="18"/>
        </w:numPr>
        <w:jc w:val="both"/>
        <w:rPr>
          <w:rFonts w:ascii="Verdana" w:eastAsia="Verdana" w:hAnsi="Verdana" w:cs="Times New Roman"/>
        </w:rPr>
      </w:pPr>
      <w:r w:rsidRPr="00286082">
        <w:rPr>
          <w:rFonts w:ascii="Verdana" w:eastAsia="Verdana" w:hAnsi="Verdana" w:cs="Times New Roman"/>
        </w:rPr>
        <w:t>Nie dotyczy.</w:t>
      </w:r>
    </w:p>
    <w:p w14:paraId="4405659B" w14:textId="77777777" w:rsidR="009E7A66" w:rsidRPr="00286082" w:rsidRDefault="00FE04AC" w:rsidP="009E7A66">
      <w:pPr>
        <w:pStyle w:val="Akapitzlist"/>
        <w:numPr>
          <w:ilvl w:val="1"/>
          <w:numId w:val="23"/>
        </w:numPr>
        <w:spacing w:after="0" w:line="288" w:lineRule="auto"/>
        <w:jc w:val="both"/>
        <w:rPr>
          <w:rFonts w:cstheme="minorHAnsi"/>
          <w:szCs w:val="18"/>
        </w:rPr>
      </w:pPr>
      <w:r w:rsidRPr="00286082">
        <w:rPr>
          <w:rFonts w:cstheme="minorHAnsi"/>
          <w:szCs w:val="18"/>
        </w:rPr>
        <w:t>Dodatkowe informacje:</w:t>
      </w:r>
    </w:p>
    <w:p w14:paraId="088D2B56" w14:textId="4253200F" w:rsidR="009E7A66" w:rsidRPr="00286082" w:rsidRDefault="00FE04AC" w:rsidP="009E7A66">
      <w:pPr>
        <w:pStyle w:val="Akapitzlist"/>
        <w:numPr>
          <w:ilvl w:val="0"/>
          <w:numId w:val="18"/>
        </w:numPr>
        <w:spacing w:after="0" w:line="288" w:lineRule="auto"/>
        <w:jc w:val="both"/>
        <w:rPr>
          <w:rFonts w:cstheme="minorHAnsi"/>
          <w:szCs w:val="18"/>
        </w:rPr>
      </w:pPr>
      <w:r w:rsidRPr="00286082">
        <w:rPr>
          <w:rFonts w:cstheme="minorHAnsi"/>
          <w:szCs w:val="18"/>
        </w:rPr>
        <w:t>Linia kablowa SN: bez kanalizacji</w:t>
      </w:r>
      <w:r w:rsidR="00286082" w:rsidRPr="00286082">
        <w:rPr>
          <w:rFonts w:cstheme="minorHAnsi"/>
          <w:szCs w:val="18"/>
        </w:rPr>
        <w:t xml:space="preserve">, </w:t>
      </w:r>
    </w:p>
    <w:p w14:paraId="0F2E7E55" w14:textId="231CBA81" w:rsidR="009E7A66" w:rsidRPr="00286082" w:rsidRDefault="009E7A66" w:rsidP="009E7A66">
      <w:pPr>
        <w:pStyle w:val="Akapitzlist"/>
        <w:numPr>
          <w:ilvl w:val="0"/>
          <w:numId w:val="18"/>
        </w:numPr>
        <w:spacing w:after="0" w:line="288" w:lineRule="auto"/>
        <w:jc w:val="both"/>
        <w:rPr>
          <w:rFonts w:cstheme="minorHAnsi"/>
          <w:szCs w:val="18"/>
        </w:rPr>
      </w:pPr>
      <w:r w:rsidRPr="00286082">
        <w:rPr>
          <w:rFonts w:ascii="Verdana" w:eastAsia="Verdana" w:hAnsi="Verdana" w:cs="Times New Roman"/>
        </w:rPr>
        <w:t xml:space="preserve">Rozdzielnice SN: </w:t>
      </w:r>
      <w:r w:rsidR="00286082" w:rsidRPr="00286082">
        <w:rPr>
          <w:rFonts w:ascii="Verdana" w:eastAsia="Verdana" w:hAnsi="Verdana" w:cs="Times New Roman"/>
        </w:rPr>
        <w:t>nie dotyczy</w:t>
      </w:r>
      <w:r w:rsidRPr="00286082">
        <w:rPr>
          <w:rFonts w:ascii="Verdana" w:eastAsia="Verdana" w:hAnsi="Verdana" w:cs="Times New Roman"/>
        </w:rPr>
        <w:t xml:space="preserve">. </w:t>
      </w:r>
    </w:p>
    <w:p w14:paraId="79F598B8" w14:textId="2F9A11C5" w:rsidR="008D0EB4" w:rsidRPr="009E3019" w:rsidRDefault="008D0EB4" w:rsidP="009E3019">
      <w:pPr>
        <w:pStyle w:val="Akapitzlist"/>
        <w:numPr>
          <w:ilvl w:val="1"/>
          <w:numId w:val="24"/>
        </w:numPr>
        <w:spacing w:after="0" w:line="276" w:lineRule="auto"/>
        <w:jc w:val="both"/>
        <w:rPr>
          <w:rFonts w:eastAsia="Times New Roman" w:cs="Calibri"/>
          <w:szCs w:val="18"/>
        </w:rPr>
      </w:pPr>
      <w:r w:rsidRPr="009E3019">
        <w:rPr>
          <w:rFonts w:eastAsia="Times New Roman" w:cs="Calibri"/>
          <w:szCs w:val="18"/>
        </w:rPr>
        <w:t>Do obowiązków Wykonawcy należy:</w:t>
      </w:r>
    </w:p>
    <w:p w14:paraId="70950969" w14:textId="77777777" w:rsidR="009E3019" w:rsidRPr="009E3019" w:rsidRDefault="009E3019" w:rsidP="009E3019">
      <w:pPr>
        <w:pStyle w:val="Akapitzlist"/>
        <w:numPr>
          <w:ilvl w:val="0"/>
          <w:numId w:val="7"/>
        </w:numPr>
        <w:spacing w:after="0" w:line="276" w:lineRule="auto"/>
        <w:jc w:val="both"/>
        <w:rPr>
          <w:rFonts w:eastAsia="Times New Roman" w:cs="Calibri"/>
          <w:vanish/>
          <w:szCs w:val="18"/>
        </w:rPr>
      </w:pPr>
    </w:p>
    <w:p w14:paraId="5C0765E8"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237298EC"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76D7BC0D"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7FD2E630"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29FEFF94" w14:textId="4D5638EE" w:rsidR="008D0EB4" w:rsidRPr="008D0EB4" w:rsidRDefault="008D0EB4" w:rsidP="009E3019">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Zagospodarowanie odpadów i materiałów z rozbiórki zgodnie z obowiązującymi przepisami (ustawa z dnia 14 grudnia 2012 r. o odpadach) i zapisami SWZ. Sposób zagospodarowania materiałów z rozbiórek należy w uzgodnieniu z Inspektorem Nadzoru odpowiednio udokumentować.</w:t>
      </w:r>
    </w:p>
    <w:p w14:paraId="369F872A" w14:textId="01CF7BF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Prawidłowa, zgodna z obowiązującymi przepisami, utylizacja materiałów z rozbiórki.</w:t>
      </w:r>
    </w:p>
    <w:p w14:paraId="21112B27" w14:textId="1F6EE60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Ewidencjonowanie wszystkich odpadów i materiałów uzyskanych z rozbiórki w formie tabelarycznej ze wskazaniem ilości i miejsca przeznaczenia oraz sposobu ich zagospodarowania lub utylizacji.</w:t>
      </w:r>
    </w:p>
    <w:p w14:paraId="19232938" w14:textId="7707BA67"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 xml:space="preserve">Odpowiedzialność za wszelkie roszczenia rzeczowe i finansowe osób trzecich związane </w:t>
      </w:r>
      <w:r w:rsidR="00463679">
        <w:rPr>
          <w:rFonts w:eastAsia="Times New Roman" w:cs="Calibri"/>
          <w:szCs w:val="18"/>
        </w:rPr>
        <w:br/>
      </w:r>
      <w:r w:rsidRPr="008D0EB4">
        <w:rPr>
          <w:rFonts w:eastAsia="Times New Roman" w:cs="Calibri"/>
          <w:szCs w:val="18"/>
        </w:rPr>
        <w:t>z prowadzonymi robotami, niewłaściwym zagospodarowaniem, składowaniem lub utylizacją odpadów i materiałów uzyskanych z rozbiórki</w:t>
      </w:r>
    </w:p>
    <w:p w14:paraId="4E3589A3" w14:textId="7A412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Termin wykonania robót budowlanych może ulec przesunięciu tylko w przypadkach określonych w Umowie.</w:t>
      </w:r>
    </w:p>
    <w:p w14:paraId="76EE0801" w14:textId="183CD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lastRenderedPageBreak/>
        <w:t xml:space="preserve">Prace elektroenergetyczne należy wykonać w technologii PPN w obszarze sieci nN </w:t>
      </w:r>
      <w:r w:rsidR="00463679">
        <w:rPr>
          <w:rFonts w:eastAsia="Times New Roman" w:cs="Calibri"/>
          <w:szCs w:val="18"/>
        </w:rPr>
        <w:br/>
      </w:r>
      <w:r w:rsidRPr="008D0EB4">
        <w:rPr>
          <w:rFonts w:eastAsia="Times New Roman" w:cs="Calibri"/>
          <w:szCs w:val="18"/>
        </w:rPr>
        <w:t>(z uwzględnieniem ograniczeń technologii).</w:t>
      </w:r>
    </w:p>
    <w:p w14:paraId="24B60DBE" w14:textId="3225B190"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Maksymalny czas wyłączeń odbiorców dla całej realizacji nie będzie trwał, łącznie w całym okresie wykonywania, dłużej niż: </w:t>
      </w:r>
      <w:r w:rsidR="00880115">
        <w:rPr>
          <w:rFonts w:eastAsia="Times New Roman" w:cs="Calibri"/>
          <w:b/>
          <w:szCs w:val="18"/>
        </w:rPr>
        <w:t>8</w:t>
      </w:r>
      <w:r w:rsidRPr="00286082">
        <w:rPr>
          <w:rFonts w:eastAsia="Times New Roman" w:cs="Calibri"/>
          <w:b/>
          <w:szCs w:val="18"/>
        </w:rPr>
        <w:t xml:space="preserve"> g</w:t>
      </w:r>
      <w:r w:rsidRPr="008D0EB4">
        <w:rPr>
          <w:rFonts w:eastAsia="Times New Roman" w:cs="Calibri"/>
          <w:b/>
          <w:szCs w:val="18"/>
        </w:rPr>
        <w:t>odzin</w:t>
      </w:r>
      <w:r w:rsidRPr="008D0EB4">
        <w:rPr>
          <w:rFonts w:eastAsia="Times New Roman" w:cs="Calibri"/>
          <w:szCs w:val="18"/>
        </w:rPr>
        <w:t xml:space="preserve">. Natomiast jednorazowa przerwa nie może przekroczyć </w:t>
      </w:r>
      <w:r w:rsidR="00880115">
        <w:rPr>
          <w:rFonts w:eastAsia="Times New Roman" w:cs="Calibri"/>
          <w:b/>
          <w:szCs w:val="18"/>
        </w:rPr>
        <w:t>8</w:t>
      </w:r>
      <w:r w:rsidR="00286082">
        <w:rPr>
          <w:rFonts w:eastAsia="Times New Roman" w:cs="Calibri"/>
          <w:b/>
          <w:szCs w:val="18"/>
        </w:rPr>
        <w:t> </w:t>
      </w:r>
      <w:r w:rsidRPr="008D0EB4">
        <w:rPr>
          <w:rFonts w:eastAsia="Times New Roman" w:cs="Calibri"/>
          <w:b/>
          <w:szCs w:val="18"/>
        </w:rPr>
        <w:t>godzin.</w:t>
      </w:r>
    </w:p>
    <w:p w14:paraId="773A03C4" w14:textId="7E86E645"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Wykonawca ma obowiązek wyposażyć wszystkie obiekty w realizowanych inwestycjach w system zamknięć, tzn. zamki oraz kłódki „MASTER KEY” firmy LOB MASTER KEY Sp. z o.o. zgodnie </w:t>
      </w:r>
      <w:r w:rsidR="00463679">
        <w:rPr>
          <w:rFonts w:eastAsia="Times New Roman" w:cs="Calibri"/>
          <w:szCs w:val="18"/>
        </w:rPr>
        <w:br/>
      </w:r>
      <w:r w:rsidRPr="008D0EB4">
        <w:rPr>
          <w:rFonts w:eastAsia="Times New Roman" w:cs="Calibri"/>
          <w:szCs w:val="18"/>
        </w:rPr>
        <w:t>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07AF7CEE" w14:textId="1AD20902"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Zasady realizacji zamówienia określa Projekt Umowy zakupowej stanowiący </w:t>
      </w:r>
      <w:r w:rsidRPr="008D0EB4">
        <w:rPr>
          <w:rFonts w:eastAsia="Times New Roman" w:cs="Calibri"/>
          <w:b/>
          <w:szCs w:val="18"/>
        </w:rPr>
        <w:t>Załącznik nr 5 do SWZ.</w:t>
      </w:r>
    </w:p>
    <w:p w14:paraId="72585A59" w14:textId="71038A31"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W celu złożenia oferty Wykonawca zobowiązany jest w szczególności do:</w:t>
      </w:r>
    </w:p>
    <w:p w14:paraId="428F08C2" w14:textId="7048FB6F"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dokumentacją projektową oraz z planowaną lokalizacją robót budowlanych, warunkami terenowymi, uwarunkowaniami zagospodarowania terenu (tereny zamknięte, kategoria dróg, administracja - gminy, starostwa itp.). Dokumentacja projektowa jest do wglądu na stronie internetowej Zamawiającego: www.pgedystrybucja.pl/przetargi lub </w:t>
      </w:r>
      <w:r w:rsidR="00463679">
        <w:rPr>
          <w:rFonts w:eastAsia="Times New Roman" w:cs="Calibri"/>
          <w:szCs w:val="18"/>
        </w:rPr>
        <w:br/>
      </w:r>
      <w:r w:rsidRPr="008D0EB4">
        <w:rPr>
          <w:rFonts w:eastAsia="Times New Roman" w:cs="Calibri"/>
          <w:szCs w:val="18"/>
        </w:rPr>
        <w:t>w siedzibie Rejonu Energetycznego.</w:t>
      </w:r>
    </w:p>
    <w:p w14:paraId="044FE135" w14:textId="02527BAB"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warunkami i wymaganiami SWZ, w tym z treścią Projektu Umowy stanowiącego </w:t>
      </w:r>
      <w:r w:rsidRPr="004644EA">
        <w:rPr>
          <w:rFonts w:eastAsia="Times New Roman" w:cs="Calibri"/>
          <w:b/>
          <w:szCs w:val="18"/>
        </w:rPr>
        <w:t>Załącznik nr 5 do SWZ.</w:t>
      </w:r>
    </w:p>
    <w:p w14:paraId="077F62DB" w14:textId="5BC722D3"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Uwzględnienia w ofercie wymaganych przez Zamawiającego warunków (przedmiar robót nie stanowi podstawy do wyceny oferty).</w:t>
      </w:r>
    </w:p>
    <w:p w14:paraId="3D0032AB" w14:textId="77777777" w:rsidR="008D0EB4" w:rsidRPr="008D0EB4" w:rsidRDefault="008D0EB4" w:rsidP="008D0EB4">
      <w:pPr>
        <w:pStyle w:val="Akapitzlist"/>
        <w:spacing w:before="120" w:after="0" w:line="276" w:lineRule="auto"/>
        <w:ind w:left="1276"/>
        <w:jc w:val="both"/>
        <w:outlineLvl w:val="0"/>
        <w:rPr>
          <w:rFonts w:eastAsia="Times New Roman" w:cs="Calibri"/>
          <w:szCs w:val="18"/>
        </w:rPr>
      </w:pPr>
    </w:p>
    <w:p w14:paraId="4BA48C0F" w14:textId="3B6AA781" w:rsidR="008D0EB4" w:rsidRPr="004644EA" w:rsidRDefault="008D0EB4" w:rsidP="008F72E5">
      <w:pPr>
        <w:pStyle w:val="Akapitzlist"/>
        <w:numPr>
          <w:ilvl w:val="0"/>
          <w:numId w:val="7"/>
        </w:numPr>
        <w:spacing w:before="120" w:after="0" w:line="276" w:lineRule="auto"/>
        <w:jc w:val="both"/>
        <w:outlineLvl w:val="0"/>
        <w:rPr>
          <w:rFonts w:eastAsia="Times New Roman" w:cs="Calibri"/>
          <w:b/>
          <w:szCs w:val="18"/>
        </w:rPr>
      </w:pPr>
      <w:r w:rsidRPr="004644EA">
        <w:rPr>
          <w:rFonts w:eastAsia="Times New Roman" w:cs="Calibri"/>
          <w:b/>
          <w:szCs w:val="18"/>
        </w:rPr>
        <w:t>Wytyczne w zakresie stosowania zamknięć typu Master Key</w:t>
      </w:r>
    </w:p>
    <w:p w14:paraId="029DEF4C" w14:textId="77777777" w:rsidR="008D0EB4" w:rsidRPr="00783D03" w:rsidRDefault="008D0EB4" w:rsidP="00783D03">
      <w:pPr>
        <w:spacing w:before="120" w:after="0" w:line="360" w:lineRule="auto"/>
        <w:ind w:left="540"/>
        <w:jc w:val="both"/>
        <w:outlineLvl w:val="0"/>
        <w:rPr>
          <w:rFonts w:eastAsia="Times New Roman" w:cs="Calibri"/>
          <w:szCs w:val="18"/>
        </w:rPr>
      </w:pPr>
      <w:r w:rsidRPr="00783D03">
        <w:rPr>
          <w:rFonts w:eastAsia="Times New Roman" w:cs="Calibri"/>
          <w:szCs w:val="18"/>
        </w:rPr>
        <w:t xml:space="preserve">Przy prowadzeniu prac obowiązkowo należy wszystkie obiekty wyposażać w system zamknięć, tzn. wkładki lub kłódki (w zależności od przyjętego rozwiązania technicznego) “Master Key” (MK) firmy LOB Master Key Sp. z o. o. według poniższego schematu. </w:t>
      </w:r>
    </w:p>
    <w:p w14:paraId="7FF1F3E6" w14:textId="17AEA660" w:rsidR="008D0EB4" w:rsidRPr="008D0EB4" w:rsidRDefault="008D0EB4" w:rsidP="00783D03">
      <w:pPr>
        <w:pStyle w:val="Akapitzlist"/>
        <w:numPr>
          <w:ilvl w:val="0"/>
          <w:numId w:val="10"/>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W1:</w:t>
      </w:r>
      <w:r w:rsidRPr="008D0EB4">
        <w:rPr>
          <w:rFonts w:eastAsia="Times New Roman" w:cs="Calibri"/>
          <w:szCs w:val="18"/>
        </w:rPr>
        <w:t xml:space="preserve"> zamknięcia obiektów systemem MK zastosowane do pomieszczeń oraz urządzeń w stacjach 110 kV oraz SN/SN, kolor kłódki: niebieski RAL 5015.</w:t>
      </w:r>
    </w:p>
    <w:p w14:paraId="0026AEBB" w14:textId="7EF61F95" w:rsidR="008D0EB4" w:rsidRPr="008D0EB4" w:rsidRDefault="008D0EB4" w:rsidP="00783D03">
      <w:pPr>
        <w:pStyle w:val="Akapitzlist"/>
        <w:numPr>
          <w:ilvl w:val="0"/>
          <w:numId w:val="11"/>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W/O1:</w:t>
      </w:r>
      <w:r w:rsidRPr="008D0EB4">
        <w:rPr>
          <w:rFonts w:eastAsia="Times New Roman" w:cs="Calibri"/>
          <w:szCs w:val="18"/>
        </w:rPr>
        <w:t xml:space="preserve"> zamknięcia obiektów współdzielonych systemu MK zastosowane do pomieszczeń oraz urządzeń w stacjach 110 kV oraz SN/SN, kolor kłódki: niebieski RAL 5015.</w:t>
      </w:r>
    </w:p>
    <w:p w14:paraId="6709DCD3" w14:textId="3767B35A" w:rsidR="008D0EB4" w:rsidRPr="008D0EB4" w:rsidRDefault="008D0EB4" w:rsidP="00783D03">
      <w:pPr>
        <w:pStyle w:val="Akapitzlist"/>
        <w:numPr>
          <w:ilvl w:val="0"/>
          <w:numId w:val="12"/>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S1:</w:t>
      </w:r>
      <w:r w:rsidRPr="008D0EB4">
        <w:rPr>
          <w:rFonts w:eastAsia="Times New Roman" w:cs="Calibri"/>
          <w:szCs w:val="18"/>
        </w:rPr>
        <w:t xml:space="preserve"> zamknięcia systemu MK zastosowane w stacjach SN/nN, złączach kablowych SN, łącznikach SN, kolor kłódki: czarny RAL 9005.</w:t>
      </w:r>
    </w:p>
    <w:p w14:paraId="006980E5" w14:textId="18705135" w:rsidR="008D0EB4" w:rsidRPr="008D0EB4" w:rsidRDefault="008D0EB4" w:rsidP="00783D03">
      <w:pPr>
        <w:pStyle w:val="Akapitzlist"/>
        <w:numPr>
          <w:ilvl w:val="0"/>
          <w:numId w:val="13"/>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S/O1:</w:t>
      </w:r>
      <w:r w:rsidRPr="008D0EB4">
        <w:rPr>
          <w:rFonts w:eastAsia="Times New Roman" w:cs="Calibri"/>
          <w:szCs w:val="18"/>
        </w:rPr>
        <w:t xml:space="preserve"> zamknięcia obiektów współdzielonych systemu MK zastosowane w stacjach SN/nN, złączach kablowych SN, łącznikach SN, kolor kłódki: czarny RAL 9005.</w:t>
      </w:r>
    </w:p>
    <w:p w14:paraId="6A8284D1" w14:textId="5AE3EFE0" w:rsidR="008D0EB4" w:rsidRPr="008D0EB4" w:rsidRDefault="008D0EB4" w:rsidP="00783D03">
      <w:pPr>
        <w:pStyle w:val="Akapitzlist"/>
        <w:numPr>
          <w:ilvl w:val="0"/>
          <w:numId w:val="14"/>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D1:</w:t>
      </w:r>
      <w:r w:rsidRPr="008D0EB4">
        <w:rPr>
          <w:rFonts w:eastAsia="Times New Roman" w:cs="Calibri"/>
          <w:szCs w:val="18"/>
        </w:rPr>
        <w:t xml:space="preserve"> zamknięcia systemu MK zastosowane w złączach kablowych nN, kolor kłódki: brązowy RAL 8016. </w:t>
      </w:r>
    </w:p>
    <w:p w14:paraId="2C2E258A" w14:textId="57548526" w:rsidR="008D0EB4" w:rsidRPr="008D0EB4" w:rsidRDefault="008D0EB4" w:rsidP="00783D03">
      <w:pPr>
        <w:pStyle w:val="Akapitzlist"/>
        <w:numPr>
          <w:ilvl w:val="0"/>
          <w:numId w:val="15"/>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O1:</w:t>
      </w:r>
      <w:r w:rsidRPr="008D0EB4">
        <w:rPr>
          <w:rFonts w:eastAsia="Times New Roman" w:cs="Calibri"/>
          <w:szCs w:val="18"/>
        </w:rPr>
        <w:t xml:space="preserve"> zamknięcia systemu MK zastosowane do urządzeń oświetlenia drogowego, kolor kłódki: pomarańczowy RAL 2000.</w:t>
      </w:r>
    </w:p>
    <w:p w14:paraId="02D1804A" w14:textId="0D8D110D" w:rsidR="003F7633" w:rsidRPr="00783D03" w:rsidRDefault="008D0EB4" w:rsidP="00783D03">
      <w:pPr>
        <w:pStyle w:val="Akapitzlist"/>
        <w:numPr>
          <w:ilvl w:val="0"/>
          <w:numId w:val="16"/>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K1:</w:t>
      </w:r>
      <w:r w:rsidRPr="008D0EB4">
        <w:rPr>
          <w:rFonts w:eastAsia="Times New Roman" w:cs="Calibri"/>
          <w:szCs w:val="18"/>
        </w:rPr>
        <w:t xml:space="preserve"> zamknięcia systemu MK zastosowane do szafek licznikowych nN odbiorców indywidualnych w Oddziale (klucze są przeznaczone do dyspozycji odbiorców indywidualnych), kolor kłódki: szary RAL 7035.</w:t>
      </w:r>
    </w:p>
    <w:p w14:paraId="4161DF15" w14:textId="138A63B1"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Termin realizacji zakupu</w:t>
      </w:r>
    </w:p>
    <w:p w14:paraId="34C2EC0E" w14:textId="77777777" w:rsidR="00286082" w:rsidRDefault="00286082" w:rsidP="00DB2BFF">
      <w:pPr>
        <w:pStyle w:val="Akapitzlist"/>
        <w:spacing w:before="120" w:line="276" w:lineRule="auto"/>
        <w:ind w:left="284"/>
        <w:jc w:val="both"/>
        <w:outlineLvl w:val="0"/>
        <w:rPr>
          <w:rFonts w:cstheme="minorHAnsi"/>
          <w:b/>
          <w:szCs w:val="18"/>
        </w:rPr>
      </w:pPr>
      <w:r>
        <w:rPr>
          <w:rFonts w:cstheme="minorHAnsi"/>
          <w:b/>
          <w:szCs w:val="18"/>
        </w:rPr>
        <w:t>6</w:t>
      </w:r>
      <w:r w:rsidR="004644EA" w:rsidRPr="004644EA">
        <w:rPr>
          <w:rFonts w:cstheme="minorHAnsi"/>
          <w:b/>
          <w:szCs w:val="18"/>
        </w:rPr>
        <w:t xml:space="preserve"> mi</w:t>
      </w:r>
      <w:r w:rsidR="004644EA">
        <w:rPr>
          <w:rFonts w:cstheme="minorHAnsi"/>
          <w:b/>
          <w:szCs w:val="18"/>
        </w:rPr>
        <w:t>esi</w:t>
      </w:r>
      <w:r>
        <w:rPr>
          <w:rFonts w:cstheme="minorHAnsi"/>
          <w:b/>
          <w:szCs w:val="18"/>
        </w:rPr>
        <w:t>ęcy</w:t>
      </w:r>
      <w:r w:rsidR="004644EA">
        <w:rPr>
          <w:rFonts w:cstheme="minorHAnsi"/>
          <w:b/>
          <w:szCs w:val="18"/>
        </w:rPr>
        <w:t xml:space="preserve"> od dnia podpisania umowy </w:t>
      </w:r>
    </w:p>
    <w:p w14:paraId="62B80F34" w14:textId="2BCB63DD" w:rsidR="004906BC" w:rsidRPr="007757B5" w:rsidRDefault="004644EA" w:rsidP="00DB2BFF">
      <w:pPr>
        <w:pStyle w:val="Akapitzlist"/>
        <w:spacing w:before="120" w:line="276" w:lineRule="auto"/>
        <w:ind w:left="284"/>
        <w:jc w:val="both"/>
        <w:outlineLvl w:val="0"/>
        <w:rPr>
          <w:rFonts w:cstheme="minorHAnsi"/>
          <w:szCs w:val="18"/>
        </w:rPr>
      </w:pPr>
      <w:r w:rsidRPr="004644EA">
        <w:rPr>
          <w:rFonts w:cstheme="minorHAnsi"/>
          <w:szCs w:val="18"/>
        </w:rPr>
        <w:t xml:space="preserve">oraz zgodnie z projektem Umowy zakupowej stanowiącym </w:t>
      </w:r>
      <w:r w:rsidR="00C13454" w:rsidRPr="007757B5">
        <w:rPr>
          <w:rFonts w:cstheme="minorHAnsi"/>
          <w:b/>
          <w:szCs w:val="18"/>
        </w:rPr>
        <w:t>Załącznik nr 5</w:t>
      </w:r>
      <w:r w:rsidR="004906BC" w:rsidRPr="007757B5">
        <w:rPr>
          <w:rFonts w:cstheme="minorHAnsi"/>
          <w:b/>
          <w:szCs w:val="18"/>
        </w:rPr>
        <w:t xml:space="preserve"> do SWZ</w:t>
      </w:r>
      <w:r w:rsidR="004906BC" w:rsidRPr="007757B5">
        <w:rPr>
          <w:rFonts w:cstheme="minorHAnsi"/>
          <w:szCs w:val="18"/>
        </w:rPr>
        <w:t>.</w:t>
      </w:r>
    </w:p>
    <w:p w14:paraId="303E8A53" w14:textId="77777777" w:rsidR="00027981" w:rsidRDefault="00027981" w:rsidP="00880115">
      <w:pPr>
        <w:spacing w:before="120" w:line="276" w:lineRule="auto"/>
        <w:jc w:val="both"/>
        <w:outlineLvl w:val="0"/>
        <w:rPr>
          <w:rFonts w:cstheme="minorHAnsi"/>
          <w:szCs w:val="18"/>
        </w:rPr>
      </w:pPr>
    </w:p>
    <w:p w14:paraId="6659A917" w14:textId="77777777" w:rsidR="00880115" w:rsidRPr="00880115" w:rsidRDefault="00880115" w:rsidP="00880115">
      <w:pPr>
        <w:spacing w:before="120" w:line="276" w:lineRule="auto"/>
        <w:jc w:val="both"/>
        <w:outlineLvl w:val="0"/>
        <w:rPr>
          <w:rFonts w:cstheme="minorHAnsi"/>
          <w:szCs w:val="18"/>
        </w:rPr>
      </w:pPr>
    </w:p>
    <w:p w14:paraId="1CFECC32" w14:textId="2C422D19"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lastRenderedPageBreak/>
        <w:t>Miejsce realizacji zakupu</w:t>
      </w:r>
    </w:p>
    <w:p w14:paraId="75EC6038" w14:textId="1944CACA" w:rsidR="004906BC" w:rsidRPr="00286082" w:rsidRDefault="00C13454" w:rsidP="00DB2BFF">
      <w:pPr>
        <w:spacing w:before="120" w:line="276" w:lineRule="auto"/>
        <w:ind w:firstLine="284"/>
        <w:jc w:val="both"/>
        <w:outlineLvl w:val="0"/>
        <w:rPr>
          <w:rFonts w:cstheme="minorHAnsi"/>
          <w:szCs w:val="18"/>
        </w:rPr>
      </w:pPr>
      <w:r w:rsidRPr="00286082">
        <w:rPr>
          <w:rFonts w:cstheme="minorHAnsi"/>
          <w:szCs w:val="18"/>
        </w:rPr>
        <w:t xml:space="preserve">Na terenie działania: </w:t>
      </w:r>
      <w:r w:rsidR="005F23E1" w:rsidRPr="00286082">
        <w:rPr>
          <w:rFonts w:cstheme="minorHAnsi"/>
          <w:b/>
          <w:szCs w:val="18"/>
        </w:rPr>
        <w:t xml:space="preserve">RE </w:t>
      </w:r>
      <w:r w:rsidR="00286082" w:rsidRPr="00286082">
        <w:rPr>
          <w:rFonts w:cstheme="minorHAnsi"/>
          <w:b/>
          <w:szCs w:val="18"/>
        </w:rPr>
        <w:t>Łódź</w:t>
      </w:r>
      <w:r w:rsidR="005F23E1" w:rsidRPr="00286082">
        <w:rPr>
          <w:rFonts w:cstheme="minorHAnsi"/>
          <w:b/>
          <w:szCs w:val="18"/>
        </w:rPr>
        <w:t xml:space="preserve">,  miejscowość </w:t>
      </w:r>
      <w:r w:rsidR="00286082" w:rsidRPr="00286082">
        <w:rPr>
          <w:rFonts w:cstheme="minorHAnsi"/>
          <w:b/>
          <w:szCs w:val="18"/>
        </w:rPr>
        <w:t>Łódź.</w:t>
      </w:r>
    </w:p>
    <w:p w14:paraId="0CA88E4A" w14:textId="285EF9D3" w:rsidR="003F7633" w:rsidRPr="005F23E1" w:rsidRDefault="003F7633" w:rsidP="008F72E5">
      <w:pPr>
        <w:pStyle w:val="Akapitzlist"/>
        <w:numPr>
          <w:ilvl w:val="0"/>
          <w:numId w:val="7"/>
        </w:numPr>
        <w:spacing w:before="120" w:line="276" w:lineRule="auto"/>
        <w:jc w:val="both"/>
        <w:outlineLvl w:val="0"/>
        <w:rPr>
          <w:rFonts w:cstheme="minorHAnsi"/>
          <w:b/>
          <w:szCs w:val="18"/>
        </w:rPr>
      </w:pPr>
      <w:r w:rsidRPr="005F23E1">
        <w:rPr>
          <w:rFonts w:cstheme="minorHAnsi"/>
          <w:b/>
          <w:szCs w:val="18"/>
        </w:rPr>
        <w:t xml:space="preserve">Dostawy inwestorskie </w:t>
      </w:r>
    </w:p>
    <w:p w14:paraId="396759C4" w14:textId="7193B33D" w:rsidR="003F7633" w:rsidRPr="005F23E1" w:rsidRDefault="003F7633" w:rsidP="00783D03">
      <w:pPr>
        <w:pStyle w:val="Akapitzlist"/>
        <w:numPr>
          <w:ilvl w:val="1"/>
          <w:numId w:val="8"/>
        </w:numPr>
        <w:spacing w:before="120" w:line="276" w:lineRule="auto"/>
        <w:ind w:left="1134" w:hanging="708"/>
        <w:jc w:val="both"/>
        <w:outlineLvl w:val="0"/>
        <w:rPr>
          <w:rFonts w:cstheme="minorHAnsi"/>
          <w:szCs w:val="18"/>
        </w:rPr>
      </w:pPr>
      <w:r w:rsidRPr="005F23E1">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27D7CC0" w14:textId="06A6A97A" w:rsidR="005F23E1" w:rsidRPr="005F23E1" w:rsidRDefault="005F23E1" w:rsidP="00783D03">
      <w:pPr>
        <w:pStyle w:val="Akapitzlist"/>
        <w:numPr>
          <w:ilvl w:val="1"/>
          <w:numId w:val="8"/>
        </w:numPr>
        <w:ind w:left="1134" w:hanging="708"/>
        <w:rPr>
          <w:rFonts w:cstheme="minorHAnsi"/>
          <w:b/>
          <w:szCs w:val="18"/>
        </w:rPr>
      </w:pPr>
      <w:r w:rsidRPr="005F23E1">
        <w:rPr>
          <w:rFonts w:cstheme="minorHAnsi"/>
          <w:b/>
          <w:szCs w:val="18"/>
        </w:rPr>
        <w:t xml:space="preserve">Wymagania techniczne dotyczące transformatorów rozdzielczych SN/nN stanowią załącznik do niniejszej Specyfikacji (SST-transformatory) </w:t>
      </w:r>
    </w:p>
    <w:p w14:paraId="429C9AB5" w14:textId="2FA22AF7" w:rsidR="00E818CE" w:rsidRP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Pr>
          <w:rFonts w:cstheme="minorHAnsi"/>
          <w:szCs w:val="18"/>
        </w:rPr>
        <w:t xml:space="preserve"> </w:t>
      </w:r>
      <w:r w:rsidRPr="00E818CE">
        <w:rPr>
          <w:rFonts w:cstheme="minorHAnsi"/>
          <w:szCs w:val="18"/>
        </w:rPr>
        <w:t xml:space="preserve">Pozostałe, podstawowe wymagania dotyczące dostaw określa Umowa stanowiąca </w:t>
      </w:r>
      <w:r w:rsidRPr="00E818CE">
        <w:rPr>
          <w:rFonts w:cstheme="minorHAnsi"/>
          <w:b/>
          <w:szCs w:val="18"/>
        </w:rPr>
        <w:t>Załącznik nr 5 do SWZ</w:t>
      </w:r>
      <w:r w:rsidRPr="00E818CE">
        <w:rPr>
          <w:rFonts w:cstheme="minorHAnsi"/>
          <w:szCs w:val="18"/>
        </w:rPr>
        <w:t xml:space="preserve"> </w:t>
      </w:r>
    </w:p>
    <w:p w14:paraId="62A1F5E2" w14:textId="77777777" w:rsidR="00E818CE" w:rsidRP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sidRPr="00E818CE">
        <w:rPr>
          <w:rFonts w:cstheme="minorHAnsi"/>
          <w:b/>
          <w:szCs w:val="18"/>
        </w:rPr>
        <w:t>Dostawa Zamawiającego:</w:t>
      </w:r>
    </w:p>
    <w:p w14:paraId="7A62CC6B" w14:textId="77728B3A" w:rsidR="00E818CE" w:rsidRPr="00286082" w:rsidRDefault="00286082" w:rsidP="00E818CE">
      <w:pPr>
        <w:pStyle w:val="Akapitzlist"/>
        <w:spacing w:before="120" w:after="0" w:line="276" w:lineRule="auto"/>
        <w:ind w:left="1287"/>
        <w:jc w:val="both"/>
        <w:outlineLvl w:val="0"/>
        <w:rPr>
          <w:rFonts w:cstheme="minorHAnsi"/>
          <w:b/>
          <w:szCs w:val="18"/>
        </w:rPr>
      </w:pPr>
      <w:r w:rsidRPr="00286082">
        <w:rPr>
          <w:rFonts w:cstheme="minorHAnsi"/>
          <w:b/>
          <w:szCs w:val="18"/>
        </w:rPr>
        <w:t>Nie dotyczy.</w:t>
      </w:r>
    </w:p>
    <w:p w14:paraId="3B492599" w14:textId="74FACD6A" w:rsidR="00E818CE" w:rsidRPr="00286082" w:rsidRDefault="00E818CE" w:rsidP="00E818CE">
      <w:pPr>
        <w:pStyle w:val="Akapitzlist"/>
        <w:spacing w:before="120" w:after="0" w:line="276" w:lineRule="auto"/>
        <w:ind w:left="1287"/>
        <w:jc w:val="both"/>
        <w:outlineLvl w:val="0"/>
        <w:rPr>
          <w:rFonts w:cstheme="minorHAnsi"/>
          <w:bCs/>
          <w:szCs w:val="18"/>
        </w:rPr>
      </w:pPr>
      <w:r w:rsidRPr="00286082">
        <w:rPr>
          <w:rFonts w:cstheme="minorHAnsi"/>
          <w:bCs/>
          <w:szCs w:val="18"/>
        </w:rPr>
        <w:t xml:space="preserve">Liczniki i modemy do układów bilansujących w stacjach SN/nN (jeżeli występują </w:t>
      </w:r>
      <w:r w:rsidR="003254C3" w:rsidRPr="00286082">
        <w:rPr>
          <w:rFonts w:cstheme="minorHAnsi"/>
          <w:bCs/>
          <w:szCs w:val="18"/>
        </w:rPr>
        <w:br/>
      </w:r>
      <w:r w:rsidRPr="00286082">
        <w:rPr>
          <w:rFonts w:cstheme="minorHAnsi"/>
          <w:bCs/>
          <w:szCs w:val="18"/>
        </w:rPr>
        <w:t>w dokumentacji projektowej) stanowią dostawę Zamawiającego.</w:t>
      </w:r>
    </w:p>
    <w:p w14:paraId="7B5723E9" w14:textId="77777777" w:rsidR="00E818CE" w:rsidRPr="00E818CE" w:rsidRDefault="00E818CE" w:rsidP="00E818CE">
      <w:pPr>
        <w:pStyle w:val="Akapitzlist"/>
        <w:spacing w:before="120" w:after="0" w:line="276" w:lineRule="auto"/>
        <w:ind w:left="1287"/>
        <w:jc w:val="both"/>
        <w:outlineLvl w:val="0"/>
        <w:rPr>
          <w:rFonts w:cstheme="minorHAnsi"/>
          <w:b/>
          <w:szCs w:val="18"/>
        </w:rPr>
      </w:pPr>
    </w:p>
    <w:p w14:paraId="57422BAC" w14:textId="63D37782" w:rsidR="004906BC" w:rsidRPr="007757B5" w:rsidRDefault="004906BC" w:rsidP="008F72E5">
      <w:pPr>
        <w:pStyle w:val="Akapitzlist"/>
        <w:numPr>
          <w:ilvl w:val="0"/>
          <w:numId w:val="8"/>
        </w:numPr>
        <w:spacing w:before="120" w:after="0" w:line="276" w:lineRule="auto"/>
        <w:jc w:val="both"/>
        <w:outlineLvl w:val="0"/>
        <w:rPr>
          <w:rFonts w:cstheme="minorHAnsi"/>
          <w:b/>
          <w:szCs w:val="18"/>
        </w:rPr>
      </w:pPr>
      <w:r w:rsidRPr="007757B5">
        <w:rPr>
          <w:rFonts w:cstheme="minorHAnsi"/>
          <w:b/>
          <w:szCs w:val="18"/>
        </w:rPr>
        <w:t xml:space="preserve">Gwarancja </w:t>
      </w:r>
    </w:p>
    <w:p w14:paraId="285A24E2" w14:textId="54A75783" w:rsidR="004906BC" w:rsidRPr="002B5B5C" w:rsidRDefault="00C13454" w:rsidP="00783D03">
      <w:pPr>
        <w:pStyle w:val="Akapitzlist"/>
        <w:numPr>
          <w:ilvl w:val="1"/>
          <w:numId w:val="8"/>
        </w:numPr>
        <w:ind w:left="1134" w:hanging="708"/>
        <w:jc w:val="both"/>
        <w:rPr>
          <w:rFonts w:cstheme="minorHAnsi"/>
          <w:szCs w:val="18"/>
        </w:rPr>
      </w:pPr>
      <w:r w:rsidRPr="002B5B5C">
        <w:rPr>
          <w:rFonts w:cstheme="minorHAnsi"/>
          <w:szCs w:val="18"/>
        </w:rPr>
        <w:t xml:space="preserve">Wykonawca udzieli Zamawiającemu rękojmi i 36 miesięcznej gwarancji na wykonane zamówienie wraz z zamontowanymi urządzeniami, licząc od dnia odbioru końcowego bez uwag. Szczegóły </w:t>
      </w:r>
      <w:r w:rsidR="003254C3">
        <w:rPr>
          <w:rFonts w:cstheme="minorHAnsi"/>
          <w:szCs w:val="18"/>
        </w:rPr>
        <w:br/>
      </w:r>
      <w:r w:rsidRPr="002B5B5C">
        <w:rPr>
          <w:rFonts w:cstheme="minorHAnsi"/>
          <w:szCs w:val="18"/>
        </w:rPr>
        <w:t xml:space="preserve">w projekcie Umowy stanowiącego </w:t>
      </w:r>
      <w:r w:rsidRPr="002B5B5C">
        <w:rPr>
          <w:rFonts w:cstheme="minorHAnsi"/>
          <w:b/>
          <w:szCs w:val="18"/>
        </w:rPr>
        <w:t>Załącznik nr 5 do SWZ</w:t>
      </w:r>
    </w:p>
    <w:p w14:paraId="2545B70A" w14:textId="77777777" w:rsidR="004906BC" w:rsidRPr="007757B5" w:rsidRDefault="004906BC" w:rsidP="00DB2BFF">
      <w:pPr>
        <w:pStyle w:val="Akapitzlist"/>
        <w:spacing w:before="120" w:line="276" w:lineRule="auto"/>
        <w:ind w:left="426"/>
        <w:jc w:val="both"/>
        <w:outlineLvl w:val="0"/>
        <w:rPr>
          <w:rFonts w:cstheme="minorHAnsi"/>
          <w:szCs w:val="18"/>
        </w:rPr>
      </w:pPr>
    </w:p>
    <w:p w14:paraId="7E8BB24D" w14:textId="131836AC" w:rsidR="004906BC" w:rsidRPr="00E818CE" w:rsidRDefault="004906BC" w:rsidP="008F72E5">
      <w:pPr>
        <w:pStyle w:val="Akapitzlist"/>
        <w:numPr>
          <w:ilvl w:val="0"/>
          <w:numId w:val="8"/>
        </w:numPr>
        <w:spacing w:before="120" w:after="0" w:line="276" w:lineRule="auto"/>
        <w:jc w:val="both"/>
        <w:outlineLvl w:val="0"/>
        <w:rPr>
          <w:rFonts w:cstheme="minorHAnsi"/>
          <w:b/>
          <w:szCs w:val="18"/>
        </w:rPr>
      </w:pPr>
      <w:r w:rsidRPr="00E818CE">
        <w:rPr>
          <w:rFonts w:cstheme="minorHAnsi"/>
          <w:b/>
          <w:szCs w:val="18"/>
        </w:rPr>
        <w:t xml:space="preserve"> Podwykonawstwo</w:t>
      </w:r>
    </w:p>
    <w:p w14:paraId="2DBC9403" w14:textId="3687102E" w:rsidR="002B5B5C"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7757B5">
        <w:rPr>
          <w:rFonts w:cstheme="minorHAnsi"/>
          <w:szCs w:val="18"/>
        </w:rPr>
        <w:t xml:space="preserve">Zamawiający </w:t>
      </w:r>
      <w:r w:rsidRPr="007757B5">
        <w:rPr>
          <w:rFonts w:cstheme="minorHAnsi"/>
          <w:b/>
          <w:szCs w:val="18"/>
        </w:rPr>
        <w:t>dopuszcza</w:t>
      </w:r>
      <w:r w:rsidRPr="007757B5">
        <w:rPr>
          <w:rFonts w:cstheme="minorHAnsi"/>
          <w:szCs w:val="18"/>
        </w:rPr>
        <w:t xml:space="preserve"> wykonywanie/a przedmiotu zakupu przez podwykonawców. </w:t>
      </w:r>
    </w:p>
    <w:p w14:paraId="5C4FE126" w14:textId="34C8AA4E" w:rsidR="003F7633" w:rsidRPr="00783D03"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W przypadku powierzenia realizacji zakupu podwykonawcom</w:t>
      </w:r>
      <w:r w:rsidR="00E818CE" w:rsidRPr="002B5B5C">
        <w:rPr>
          <w:rFonts w:cstheme="minorHAnsi"/>
          <w:szCs w:val="18"/>
        </w:rPr>
        <w:t>, Wykonawca jest zobowiązany w F</w:t>
      </w:r>
      <w:r w:rsidRPr="002B5B5C">
        <w:rPr>
          <w:rFonts w:cstheme="minorHAnsi"/>
          <w:szCs w:val="18"/>
        </w:rPr>
        <w:t>ormularzu Oferty wprowadzić ich nazwy oraz określić, jaką czę</w:t>
      </w:r>
      <w:r w:rsidR="00E818CE" w:rsidRPr="002B5B5C">
        <w:rPr>
          <w:rFonts w:cstheme="minorHAnsi"/>
          <w:szCs w:val="18"/>
        </w:rPr>
        <w:t>ść Zakupu zamierza im powierzyć, jeżeli Podwykonawcy są już znani.</w:t>
      </w:r>
      <w:bookmarkEnd w:id="0"/>
      <w:bookmarkEnd w:id="1"/>
      <w:bookmarkEnd w:id="2"/>
      <w:bookmarkEnd w:id="3"/>
      <w:bookmarkEnd w:id="4"/>
      <w:bookmarkEnd w:id="5"/>
    </w:p>
    <w:p w14:paraId="7F25FAEA" w14:textId="77777777" w:rsidR="00243739" w:rsidRPr="007757B5" w:rsidRDefault="00243739" w:rsidP="003F7633">
      <w:pPr>
        <w:tabs>
          <w:tab w:val="left" w:pos="4357"/>
          <w:tab w:val="left" w:pos="8509"/>
        </w:tabs>
        <w:rPr>
          <w:rFonts w:ascii="Verdana" w:eastAsia="Verdana" w:hAnsi="Verdana" w:cs="Times New Roman"/>
          <w:szCs w:val="18"/>
        </w:rPr>
      </w:pPr>
    </w:p>
    <w:p w14:paraId="6FFF5CF7" w14:textId="6A85DC17" w:rsidR="002B5B5C" w:rsidRDefault="00E818CE" w:rsidP="008F72E5">
      <w:pPr>
        <w:pStyle w:val="Akapitzlist"/>
        <w:numPr>
          <w:ilvl w:val="0"/>
          <w:numId w:val="8"/>
        </w:numPr>
        <w:spacing w:after="0" w:line="288" w:lineRule="auto"/>
        <w:jc w:val="both"/>
        <w:rPr>
          <w:rFonts w:ascii="Verdana" w:eastAsia="Verdana" w:hAnsi="Verdana" w:cs="Times New Roman"/>
          <w:b/>
          <w:szCs w:val="18"/>
        </w:rPr>
      </w:pPr>
      <w:r w:rsidRPr="00E818CE">
        <w:rPr>
          <w:rFonts w:ascii="Verdana" w:eastAsia="Verdana" w:hAnsi="Verdana" w:cs="Times New Roman"/>
          <w:b/>
          <w:szCs w:val="18"/>
        </w:rPr>
        <w:t>Wymagania dodatkowe:</w:t>
      </w:r>
    </w:p>
    <w:p w14:paraId="6024E305" w14:textId="6ADEA2D5" w:rsidR="002B5B5C" w:rsidRPr="00051C2B" w:rsidRDefault="00D8328D" w:rsidP="00051C2B">
      <w:pPr>
        <w:pStyle w:val="Akapitzlist"/>
        <w:numPr>
          <w:ilvl w:val="1"/>
          <w:numId w:val="8"/>
        </w:numPr>
        <w:spacing w:after="0" w:line="288" w:lineRule="auto"/>
        <w:ind w:left="1134" w:hanging="708"/>
        <w:jc w:val="both"/>
        <w:rPr>
          <w:b/>
          <w:bCs/>
        </w:rPr>
      </w:pPr>
      <w:r w:rsidRPr="00286082">
        <w:rPr>
          <w:rFonts w:cstheme="minorHAnsi"/>
          <w:b/>
          <w:bCs/>
          <w:szCs w:val="18"/>
        </w:rPr>
        <w:t xml:space="preserve">Wyłączenia realizacji zadań z zakresu dokumentacji projektowej: Dokumentacja    </w:t>
      </w:r>
      <w:r w:rsidR="002B5B5C" w:rsidRPr="00286082">
        <w:rPr>
          <w:rFonts w:cstheme="minorHAnsi"/>
          <w:b/>
          <w:bCs/>
          <w:szCs w:val="18"/>
        </w:rPr>
        <w:t xml:space="preserve"> </w:t>
      </w:r>
      <w:r w:rsidR="002B5B5C" w:rsidRPr="00286082">
        <w:rPr>
          <w:rFonts w:cstheme="minorHAnsi"/>
          <w:b/>
          <w:bCs/>
          <w:szCs w:val="18"/>
        </w:rPr>
        <w:br/>
      </w:r>
      <w:r w:rsidRPr="00286082">
        <w:rPr>
          <w:rFonts w:cstheme="minorHAnsi"/>
          <w:b/>
          <w:bCs/>
          <w:szCs w:val="18"/>
        </w:rPr>
        <w:t xml:space="preserve">projektowa </w:t>
      </w:r>
      <w:r w:rsidR="00880115">
        <w:rPr>
          <w:rFonts w:cstheme="minorHAnsi"/>
          <w:b/>
          <w:bCs/>
          <w:szCs w:val="18"/>
        </w:rPr>
        <w:t xml:space="preserve">nie </w:t>
      </w:r>
      <w:r w:rsidRPr="00286082">
        <w:rPr>
          <w:rFonts w:cstheme="minorHAnsi"/>
          <w:b/>
          <w:bCs/>
          <w:szCs w:val="18"/>
        </w:rPr>
        <w:t>będzie realizowana w całości</w:t>
      </w:r>
      <w:r w:rsidR="00880115">
        <w:rPr>
          <w:rFonts w:cstheme="minorHAnsi"/>
          <w:b/>
          <w:bCs/>
          <w:szCs w:val="18"/>
        </w:rPr>
        <w:t xml:space="preserve"> </w:t>
      </w:r>
      <w:r w:rsidR="00880115" w:rsidRPr="00880115">
        <w:rPr>
          <w:rFonts w:cstheme="minorHAnsi"/>
          <w:b/>
          <w:bCs/>
          <w:szCs w:val="18"/>
        </w:rPr>
        <w:t>(przy budowie linii kablowej SN wyłączeniu podlega ułożenie kanalizacji światłowodowej/teletechnicznej)</w:t>
      </w:r>
      <w:r w:rsidR="00051C2B" w:rsidRPr="00051C2B">
        <w:rPr>
          <w:b/>
          <w:bCs/>
        </w:rPr>
        <w:t>.</w:t>
      </w:r>
    </w:p>
    <w:p w14:paraId="67B468F5" w14:textId="1EAAC8B6" w:rsidR="00463679" w:rsidRPr="00286082" w:rsidRDefault="00D8328D" w:rsidP="00463679">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Dodatkowe wymagania dla realizacji robót budowlano - montażowych:</w:t>
      </w:r>
    </w:p>
    <w:p w14:paraId="125AC90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Wyłączenie energii elektrycznej o którym mowa w punkcie 1.8 dotyczy stacji transformatorowych/obwodów sieci nN wyłączonych spod napięcia na czas realizacji przedmiotowych prac i </w:t>
      </w:r>
      <w:r w:rsidRPr="002B5B5C">
        <w:rPr>
          <w:rFonts w:cstheme="minorHAnsi"/>
          <w:b/>
          <w:szCs w:val="18"/>
        </w:rPr>
        <w:t>nie wskazanych</w:t>
      </w:r>
      <w:r w:rsidRPr="002B5B5C">
        <w:rPr>
          <w:rFonts w:cstheme="minorHAnsi"/>
          <w:szCs w:val="18"/>
        </w:rPr>
        <w:t xml:space="preserve"> przez Zamawiającego do zasilania jednostkami prądotwórczymi oraz nie obejmuje przerw związanych z podłączeniem agregatów prądotwórczych.</w:t>
      </w:r>
    </w:p>
    <w:p w14:paraId="5A9904FB"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Wykonawca jest zobowiązany do zabezpieczenia rezerwowego zasilania dla stacji transformatorowych 15/0,4 kV wskazanych poniżej przez Zamawiającego. </w:t>
      </w:r>
    </w:p>
    <w:p w14:paraId="0CD8608D" w14:textId="1A3411B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b/>
          <w:szCs w:val="18"/>
        </w:rPr>
        <w:t>Stacje transformatorowe 15/0,4 kV wskazane przez Zamawiającego do zasilania jednostkami prądotwórczymi:</w:t>
      </w:r>
    </w:p>
    <w:p w14:paraId="7137027D" w14:textId="40A368C9" w:rsidR="00D8328D" w:rsidRPr="00286082" w:rsidRDefault="00880115" w:rsidP="00286082">
      <w:pPr>
        <w:pStyle w:val="Akapitzlist"/>
        <w:numPr>
          <w:ilvl w:val="0"/>
          <w:numId w:val="9"/>
        </w:numPr>
        <w:rPr>
          <w:rFonts w:cstheme="minorHAnsi"/>
          <w:b/>
          <w:szCs w:val="18"/>
        </w:rPr>
      </w:pPr>
      <w:r>
        <w:rPr>
          <w:rFonts w:cstheme="minorHAnsi"/>
          <w:b/>
          <w:szCs w:val="18"/>
        </w:rPr>
        <w:t>…………………….</w:t>
      </w:r>
      <w:r w:rsidR="00286082">
        <w:rPr>
          <w:rFonts w:cstheme="minorHAnsi"/>
          <w:b/>
          <w:szCs w:val="18"/>
        </w:rPr>
        <w:t>.</w:t>
      </w:r>
    </w:p>
    <w:p w14:paraId="66676F2B"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Zamawiający zobowiązuje Wykonawcę do złożenia w terminie 10 dni od momentu zawarcia umowy zgłoszenia i uzgodnienia Harmonogramu planowanych wyłączeń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2920A4E8"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Zamawiający zobowiązuje Wykonawcę do planowania i realizowania robót budowlano-montażowych w sieci nN objętych dokumentacją projektową, w sposób maksymalnie wykorzystujący technologie prac pod napięciem w sieci i przy urządzeniach nN. Prace winny być realizowane zgodnie technologiami zawartymi w „Instrukcji organizacji i wykonywania prac pod napięciem w sieci dystrybucyjnej o napięciu do 1 kV w PGE Dystrybucja S.A.”</w:t>
      </w:r>
    </w:p>
    <w:p w14:paraId="64631B6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lastRenderedPageBreak/>
        <w:t>Zamawiający zobowiązuje wykonawcę do organizacji prac z wykorzystaniem systemu samodopuszczeń. Organizacja, zakres i zasady określone zostały w „Instrukcji prowadzenia prac przez firmy zewnętrzne w systemie samodopuszczeń w sieci PGE Dystrybucja S.A. Oddział Łódź”</w:t>
      </w:r>
    </w:p>
    <w:p w14:paraId="491FA81E" w14:textId="77777777" w:rsidR="00D8328D"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Wykonawca zapewnia prowadzenie prac na placu budowy pod nadzorem kierownika budowy wykonywanym w sposób ciągły.</w:t>
      </w:r>
    </w:p>
    <w:p w14:paraId="3A44B313"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Jeżeli przedmiot prac obejmuje budowę stacji transformatorowej lub wymianę rozdzielnicy nN na stacji poniżej przedstawiamy niezbędny zakres prac do wykonania:</w:t>
      </w:r>
    </w:p>
    <w:p w14:paraId="2A11093F"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r w:rsidR="002B5B5C" w:rsidRPr="002B5B5C">
        <w:rPr>
          <w:rFonts w:cstheme="minorHAnsi"/>
          <w:szCs w:val="18"/>
        </w:rPr>
        <w:t>.</w:t>
      </w:r>
    </w:p>
    <w:p w14:paraId="629C0C08"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8CD019A"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Obwody prądowe należy pozostawić zwarte na listwie kontrolno pomiarowej, natomiast obwody napięciowe należy pozostawić odłączone (w stanie beznapięciowym).</w:t>
      </w:r>
    </w:p>
    <w:p w14:paraId="22C7AE79" w14:textId="32D52E1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Zamawiający zobowiązuje wykonawcę do wykonania obwodów zasilania koncentratora </w:t>
      </w:r>
      <w:r w:rsidR="003254C3">
        <w:rPr>
          <w:rFonts w:cstheme="minorHAnsi"/>
          <w:szCs w:val="18"/>
        </w:rPr>
        <w:br/>
      </w:r>
      <w:r w:rsidRPr="002B5B5C">
        <w:rPr>
          <w:rFonts w:cstheme="minorHAnsi"/>
          <w:szCs w:val="18"/>
        </w:rPr>
        <w:t>i modemu wraz o odpowiednią listwą zabezpieczeniową oraz zabezpieczonym gniazdem serwisowym zgodnie z Tomem 5 „Stacje Transformatorowe Sn/nN Wytycznych do budowy systemów elektroenergetycznych w PGE Dystrybucja S.A.”</w:t>
      </w:r>
    </w:p>
    <w:p w14:paraId="26D031B1" w14:textId="77777777" w:rsidR="002B5B5C"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Na Wykonawcy spoczywa obowiązek zakupu dziennika budowy i przekazania go do Zamawiającego – jeżeli przedmiot prac tego wymaga.</w:t>
      </w:r>
    </w:p>
    <w:p w14:paraId="1A8A752E" w14:textId="286D8B14" w:rsidR="00D8328D" w:rsidRPr="002B5B5C" w:rsidRDefault="00D8328D" w:rsidP="008F72E5">
      <w:pPr>
        <w:pStyle w:val="Akapitzlist"/>
        <w:numPr>
          <w:ilvl w:val="2"/>
          <w:numId w:val="8"/>
        </w:numPr>
        <w:spacing w:after="0" w:line="288" w:lineRule="auto"/>
        <w:jc w:val="both"/>
        <w:rPr>
          <w:rStyle w:val="Hipercze"/>
          <w:rFonts w:cstheme="minorHAnsi"/>
          <w:sz w:val="18"/>
          <w:szCs w:val="18"/>
        </w:rPr>
      </w:pPr>
      <w:r w:rsidRPr="002B5B5C">
        <w:rPr>
          <w:rFonts w:cstheme="minorHAnsi"/>
          <w:szCs w:val="18"/>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w:t>
      </w:r>
      <w:r w:rsidR="003C22FB">
        <w:rPr>
          <w:rFonts w:cstheme="minorHAnsi"/>
          <w:szCs w:val="18"/>
        </w:rPr>
        <w:t>Pracodawcę</w:t>
      </w:r>
      <w:r w:rsidRPr="002B5B5C">
        <w:rPr>
          <w:rFonts w:cstheme="minorHAnsi"/>
          <w:szCs w:val="18"/>
        </w:rPr>
        <w:t xml:space="preserve">,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t>
      </w:r>
      <w:r w:rsidR="003254C3">
        <w:rPr>
          <w:rFonts w:cstheme="minorHAnsi"/>
          <w:szCs w:val="18"/>
        </w:rPr>
        <w:br/>
      </w:r>
      <w:r w:rsidRPr="002B5B5C">
        <w:rPr>
          <w:rFonts w:cstheme="minorHAnsi"/>
          <w:szCs w:val="18"/>
        </w:rPr>
        <w:t xml:space="preserve">w PGE Dystrybucja S.A.”, „Instrukcji organizacji prac w sieci dystrybucyjnej PGE Dystrybucja S.A. z udziałem firm zewnętrznych”, „Wytycznych do budowy systemów energetycznych </w:t>
      </w:r>
      <w:r w:rsidR="003254C3">
        <w:rPr>
          <w:rFonts w:cstheme="minorHAnsi"/>
          <w:szCs w:val="18"/>
        </w:rPr>
        <w:br/>
      </w:r>
      <w:r w:rsidRPr="002B5B5C">
        <w:rPr>
          <w:rFonts w:cstheme="minorHAnsi"/>
          <w:szCs w:val="18"/>
        </w:rPr>
        <w:t xml:space="preserve">w PGE Dystrybucja S.A.” oraz „Zasadach prowadzenia prac przy budowie lub przebudowie stacji i linii elektroenergetycznych” dostępnych na stronie internetowej Zamawiającego </w:t>
      </w:r>
      <w:hyperlink r:id="rId12" w:history="1">
        <w:r w:rsidRPr="002B5B5C">
          <w:rPr>
            <w:rStyle w:val="Hipercze"/>
            <w:rFonts w:cstheme="minorHAnsi"/>
            <w:sz w:val="18"/>
            <w:szCs w:val="18"/>
          </w:rPr>
          <w:t>http://pgedystrybucja.pl/strefa-klienta/przydatne-dokumenty</w:t>
        </w:r>
      </w:hyperlink>
    </w:p>
    <w:p w14:paraId="4CBE31C3" w14:textId="4D662692" w:rsidR="00D8328D" w:rsidRPr="00463679" w:rsidRDefault="00D8328D" w:rsidP="00463679">
      <w:pPr>
        <w:pStyle w:val="Akapitzlist"/>
        <w:numPr>
          <w:ilvl w:val="1"/>
          <w:numId w:val="8"/>
        </w:numPr>
        <w:spacing w:before="120" w:after="240" w:line="276" w:lineRule="auto"/>
        <w:ind w:left="1134" w:hanging="708"/>
        <w:jc w:val="both"/>
        <w:outlineLvl w:val="0"/>
        <w:rPr>
          <w:rFonts w:cstheme="minorHAnsi"/>
          <w:bCs/>
          <w:szCs w:val="18"/>
        </w:rPr>
      </w:pPr>
      <w:r w:rsidRPr="00463679">
        <w:rPr>
          <w:rFonts w:cstheme="minorHAnsi"/>
          <w:bCs/>
          <w:szCs w:val="18"/>
        </w:rPr>
        <w:t xml:space="preserve">Jeżeli wymagane jest zabezpieczenie należytego wykonania umowy, a Wykonawca zdecyduje się je wnieść w postaci gwarancji bankowej lub ubezpieczeniowej, wówczas zobowiązany jest przed podpisaniem umowy do przedstawienia Zamawiającemu draftu stosownej umowy do zatwierdzenia. Wzory treści umów gwarancyjnych stanowią załącznik do niniejszej Specyfikacji. </w:t>
      </w:r>
    </w:p>
    <w:p w14:paraId="3787EDB1" w14:textId="77777777" w:rsidR="00D8328D" w:rsidRPr="002B5B5C" w:rsidRDefault="00D8328D" w:rsidP="008F72E5">
      <w:pPr>
        <w:pStyle w:val="Akapitzlist"/>
        <w:numPr>
          <w:ilvl w:val="0"/>
          <w:numId w:val="8"/>
        </w:numPr>
        <w:spacing w:before="120" w:after="0" w:line="276" w:lineRule="auto"/>
        <w:ind w:left="284" w:hanging="284"/>
        <w:outlineLvl w:val="0"/>
        <w:rPr>
          <w:rFonts w:cstheme="minorHAnsi"/>
          <w:b/>
          <w:szCs w:val="18"/>
        </w:rPr>
      </w:pPr>
      <w:r w:rsidRPr="002B5B5C">
        <w:rPr>
          <w:rFonts w:cstheme="minorHAnsi"/>
          <w:b/>
          <w:szCs w:val="18"/>
        </w:rPr>
        <w:t>Zasady odbioru robót budowlanych:</w:t>
      </w:r>
    </w:p>
    <w:p w14:paraId="74B66FB2" w14:textId="129C3816" w:rsidR="00D8328D" w:rsidRPr="00463679" w:rsidRDefault="00D8328D" w:rsidP="00463679">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 xml:space="preserve">Odbiory prac dokonywane są przez Zamawiającego zgodnie z „Ramową instrukcją przeprowadzania odbiorów obiektów budowlanych związanych z dystrybucją energii elektrycznej w PGE Dystrybucja S.A. która dostępna jest na stronie </w:t>
      </w:r>
      <w:hyperlink r:id="rId13" w:history="1">
        <w:r w:rsidR="00463679" w:rsidRPr="001E36C9">
          <w:rPr>
            <w:rStyle w:val="Hipercze"/>
            <w:sz w:val="18"/>
          </w:rPr>
          <w:t>https://pgedystrybucja.pl/uslugi-dystrybucyjne/dokumenty-do-pobrania</w:t>
        </w:r>
      </w:hyperlink>
      <w:r w:rsidR="00463679">
        <w:t xml:space="preserve"> </w:t>
      </w:r>
      <w:r w:rsidRPr="00463679">
        <w:rPr>
          <w:rFonts w:cstheme="minorHAnsi"/>
          <w:szCs w:val="18"/>
        </w:rPr>
        <w:t xml:space="preserve">oraz zgodnie z zapisami Umowy stanowiącej </w:t>
      </w:r>
      <w:r w:rsidRPr="00463679">
        <w:rPr>
          <w:rFonts w:cstheme="minorHAnsi"/>
          <w:b/>
          <w:szCs w:val="18"/>
        </w:rPr>
        <w:t>Załącznik nr 5 do SWZ</w:t>
      </w:r>
    </w:p>
    <w:p w14:paraId="15E7FC0C" w14:textId="660EA415"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Dokumentacja powykonawcza przekazana do Zamawiającego po wykonaniu prac powinna zawierać w szczególności:</w:t>
      </w:r>
    </w:p>
    <w:p w14:paraId="7FBD1FE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Dokumentację projektową (projekt budowlany i projekt wykonawczy) z ewentualnymi zmianami na etapie realizacji.</w:t>
      </w:r>
    </w:p>
    <w:p w14:paraId="157E3FC2"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Protokoły z przeprowadzonych pomiarów.</w:t>
      </w:r>
    </w:p>
    <w:p w14:paraId="2760B0B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lastRenderedPageBreak/>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3695CDD" w14:textId="04B99BD4"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Dokumentacja powykonawcza przebiegu sieci wraz z atrybutami zinwentaryzowanych elementów stanowi integralną część dokumentacji i wymagana jest w plikach wektorowych </w:t>
      </w:r>
      <w:r w:rsidR="003254C3">
        <w:rPr>
          <w:rFonts w:cstheme="minorHAnsi"/>
          <w:szCs w:val="18"/>
        </w:rPr>
        <w:br/>
      </w:r>
      <w:r w:rsidRPr="002B5B5C">
        <w:rPr>
          <w:rFonts w:cstheme="minorHAnsi"/>
          <w:szCs w:val="18"/>
        </w:rPr>
        <w:t>z rozszerzeniem .shp dla inwentaryzowanych warstw w układach 2000 (pas 6,7), 1992(m), 1965 (strefa_1).</w:t>
      </w:r>
    </w:p>
    <w:p w14:paraId="3C1C5D1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Kompletną dokumentację prawno - uzgodnieniową z oryginałami prawomocnych uzgodnień i decyzji wymaganych przepisami prawa. </w:t>
      </w:r>
    </w:p>
    <w:p w14:paraId="272BBD7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Dziennik Budowy (o ile jest wymagany przepisami).</w:t>
      </w:r>
    </w:p>
    <w:p w14:paraId="540FE847"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Dokumenty dotyczące wyrobów budowlanych (materiałów i urządzeń) wbudowanych </w:t>
      </w:r>
      <w:r w:rsidRPr="002B5B5C">
        <w:rPr>
          <w:rFonts w:cstheme="minorHAnsi"/>
          <w:szCs w:val="18"/>
        </w:rPr>
        <w:br/>
        <w:t>w obiekt potwierdzających ich projektowane właściwości użytkowe, charakterystyki techniczne i świadczące o legalnym wprowadzeniu ich do obrotu.</w:t>
      </w:r>
    </w:p>
    <w:p w14:paraId="014EBD2B" w14:textId="77777777" w:rsidR="00D8328D" w:rsidRPr="001664FC" w:rsidRDefault="00D8328D" w:rsidP="008F72E5">
      <w:pPr>
        <w:pStyle w:val="Akapitzlist"/>
        <w:numPr>
          <w:ilvl w:val="2"/>
          <w:numId w:val="8"/>
        </w:numPr>
        <w:spacing w:before="120" w:after="0" w:line="276" w:lineRule="auto"/>
        <w:jc w:val="both"/>
        <w:outlineLvl w:val="0"/>
        <w:rPr>
          <w:rFonts w:cstheme="minorHAnsi"/>
          <w:sz w:val="20"/>
        </w:rPr>
      </w:pPr>
      <w:r w:rsidRPr="002B5B5C">
        <w:rPr>
          <w:rFonts w:cstheme="minorHAnsi"/>
          <w:szCs w:val="18"/>
        </w:rPr>
        <w:t xml:space="preserve">Wykaz nowych przyporządkowań odbiorców do stacji po podziale sieci wraz </w:t>
      </w:r>
      <w:r w:rsidRPr="002B5B5C">
        <w:rPr>
          <w:rFonts w:cstheme="minorHAnsi"/>
          <w:szCs w:val="18"/>
        </w:rPr>
        <w:br/>
        <w:t>z ewentualnymi zmianami sposobu ich zasilania.</w:t>
      </w:r>
    </w:p>
    <w:p w14:paraId="1B7FF408" w14:textId="7C86E250" w:rsidR="006240E4" w:rsidRPr="006240E4" w:rsidRDefault="006240E4" w:rsidP="00D8328D">
      <w:pPr>
        <w:spacing w:after="0" w:line="288" w:lineRule="auto"/>
        <w:jc w:val="both"/>
        <w:rPr>
          <w:rFonts w:ascii="Times New Roman" w:eastAsia="Times New Roman" w:hAnsi="Times New Roman" w:cs="Times New Roman"/>
          <w:sz w:val="22"/>
          <w:szCs w:val="20"/>
        </w:rPr>
      </w:pPr>
    </w:p>
    <w:p w14:paraId="16C1A2E3" w14:textId="77777777" w:rsidR="006240E4" w:rsidRPr="006240E4" w:rsidRDefault="006240E4" w:rsidP="006240E4">
      <w:pPr>
        <w:spacing w:after="0" w:line="288" w:lineRule="auto"/>
        <w:jc w:val="both"/>
        <w:rPr>
          <w:rFonts w:ascii="Times New Roman" w:eastAsia="Times New Roman" w:hAnsi="Times New Roman" w:cs="Times New Roman"/>
          <w:sz w:val="22"/>
          <w:szCs w:val="20"/>
        </w:rPr>
      </w:pPr>
    </w:p>
    <w:p w14:paraId="5B04551C" w14:textId="77777777" w:rsidR="006240E4" w:rsidRPr="007757B5" w:rsidRDefault="006240E4" w:rsidP="003F7633">
      <w:pPr>
        <w:tabs>
          <w:tab w:val="left" w:pos="4357"/>
          <w:tab w:val="left" w:pos="8509"/>
        </w:tabs>
        <w:rPr>
          <w:rFonts w:ascii="Verdana" w:eastAsia="Verdana" w:hAnsi="Verdana" w:cs="Times New Roman"/>
          <w:szCs w:val="18"/>
        </w:rPr>
      </w:pPr>
    </w:p>
    <w:sectPr w:rsidR="006240E4" w:rsidRPr="007757B5" w:rsidSect="00A62B4C">
      <w:headerReference w:type="even" r:id="rId14"/>
      <w:headerReference w:type="default" r:id="rId15"/>
      <w:footerReference w:type="even" r:id="rId16"/>
      <w:footerReference w:type="default" r:id="rId17"/>
      <w:headerReference w:type="first" r:id="rId18"/>
      <w:footerReference w:type="first" r:id="rId19"/>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3A471" w14:textId="77777777" w:rsidR="004C5DB2" w:rsidRDefault="004C5DB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E78CACA" w:rsidR="00347E8D" w:rsidRDefault="00347E8D">
        <w:pPr>
          <w:pStyle w:val="Stopka"/>
          <w:jc w:val="right"/>
        </w:pPr>
        <w:r>
          <w:fldChar w:fldCharType="begin"/>
        </w:r>
        <w:r>
          <w:instrText>PAGE   \* MERGEFORMAT</w:instrText>
        </w:r>
        <w:r>
          <w:fldChar w:fldCharType="separate"/>
        </w:r>
        <w:r w:rsidR="00B00CE4">
          <w:rPr>
            <w:noProof/>
          </w:rPr>
          <w:t>5</w:t>
        </w:r>
        <w:r>
          <w:fldChar w:fldCharType="end"/>
        </w:r>
      </w:p>
    </w:sdtContent>
  </w:sdt>
  <w:p w14:paraId="4A5385B6" w14:textId="77777777" w:rsidR="00347E8D" w:rsidRDefault="00347E8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EA25A" w14:textId="77777777" w:rsidR="004C5DB2" w:rsidRDefault="004C5DB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5205B493" w14:textId="19EC9C14" w:rsidR="00347E8D" w:rsidRPr="006B2C28" w:rsidRDefault="004C5DB2" w:rsidP="00582CE9">
          <w:pPr>
            <w:suppressAutoHyphens/>
            <w:ind w:right="187"/>
            <w:rPr>
              <w:rFonts w:asciiTheme="majorHAnsi" w:hAnsiTheme="majorHAnsi"/>
              <w:color w:val="000000" w:themeColor="text1"/>
              <w:sz w:val="14"/>
              <w:szCs w:val="18"/>
            </w:rPr>
          </w:pPr>
          <w:r w:rsidRPr="004C5DB2">
            <w:rPr>
              <w:rFonts w:asciiTheme="majorHAnsi" w:hAnsiTheme="majorHAnsi"/>
              <w:color w:val="000000" w:themeColor="text1"/>
              <w:sz w:val="14"/>
              <w:szCs w:val="18"/>
            </w:rPr>
            <w:t>POST/DYS/OLD/GZ/00142/2026</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 w15:restartNumberingAfterBreak="0">
    <w:nsid w:val="15FA48F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8012366"/>
    <w:multiLevelType w:val="multilevel"/>
    <w:tmpl w:val="52F4C7DE"/>
    <w:lvl w:ilvl="0">
      <w:start w:val="1"/>
      <w:numFmt w:val="decimal"/>
      <w:lvlText w:val="%1"/>
      <w:lvlJc w:val="left"/>
      <w:pPr>
        <w:ind w:left="420" w:hanging="420"/>
      </w:pPr>
      <w:rPr>
        <w:rFonts w:hint="default"/>
      </w:rPr>
    </w:lvl>
    <w:lvl w:ilvl="1">
      <w:start w:val="10"/>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89B22E2"/>
    <w:multiLevelType w:val="multilevel"/>
    <w:tmpl w:val="C4D48EEE"/>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 w15:restartNumberingAfterBreak="0">
    <w:nsid w:val="1D8354A8"/>
    <w:multiLevelType w:val="hybridMultilevel"/>
    <w:tmpl w:val="BCB28DAE"/>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23052B06"/>
    <w:multiLevelType w:val="multilevel"/>
    <w:tmpl w:val="14C4281C"/>
    <w:lvl w:ilvl="0">
      <w:start w:val="1"/>
      <w:numFmt w:val="decimal"/>
      <w:lvlText w:val="%1."/>
      <w:lvlJc w:val="left"/>
      <w:pPr>
        <w:ind w:left="360" w:hanging="360"/>
      </w:pPr>
    </w:lvl>
    <w:lvl w:ilvl="1">
      <w:start w:val="1"/>
      <w:numFmt w:val="decimal"/>
      <w:lvlText w:val="%1.%2."/>
      <w:lvlJc w:val="left"/>
      <w:pPr>
        <w:ind w:left="792" w:hanging="432"/>
      </w:pPr>
      <w:rPr>
        <w:b w:val="0"/>
        <w:bCs/>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6" w15:restartNumberingAfterBreak="0">
    <w:nsid w:val="537D3AC1"/>
    <w:multiLevelType w:val="multilevel"/>
    <w:tmpl w:val="550AD956"/>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4976919"/>
    <w:multiLevelType w:val="multilevel"/>
    <w:tmpl w:val="05AE36B0"/>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9" w15:restartNumberingAfterBreak="0">
    <w:nsid w:val="595E28A4"/>
    <w:multiLevelType w:val="hybridMultilevel"/>
    <w:tmpl w:val="162E2B64"/>
    <w:lvl w:ilvl="0" w:tplc="F4DC2094">
      <w:start w:val="1"/>
      <w:numFmt w:val="bullet"/>
      <w:lvlText w:val=""/>
      <w:lvlJc w:val="left"/>
      <w:pPr>
        <w:ind w:left="1080" w:hanging="360"/>
      </w:pPr>
      <w:rPr>
        <w:rFonts w:ascii="Wingdings" w:hAnsi="Wingdings" w:hint="default"/>
        <w:color w:val="FF000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2"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3"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4" w15:restartNumberingAfterBreak="0">
    <w:nsid w:val="78191D3A"/>
    <w:multiLevelType w:val="hybridMultilevel"/>
    <w:tmpl w:val="E046A0E2"/>
    <w:lvl w:ilvl="0" w:tplc="04150001">
      <w:start w:val="1"/>
      <w:numFmt w:val="bullet"/>
      <w:lvlText w:val=""/>
      <w:lvlJc w:val="left"/>
      <w:pPr>
        <w:ind w:left="1710" w:hanging="360"/>
      </w:pPr>
      <w:rPr>
        <w:rFonts w:ascii="Symbol" w:hAnsi="Symbol" w:hint="default"/>
      </w:rPr>
    </w:lvl>
    <w:lvl w:ilvl="1" w:tplc="04150003" w:tentative="1">
      <w:start w:val="1"/>
      <w:numFmt w:val="bullet"/>
      <w:lvlText w:val="o"/>
      <w:lvlJc w:val="left"/>
      <w:pPr>
        <w:ind w:left="2430" w:hanging="360"/>
      </w:pPr>
      <w:rPr>
        <w:rFonts w:ascii="Courier New" w:hAnsi="Courier New" w:cs="Courier New" w:hint="default"/>
      </w:rPr>
    </w:lvl>
    <w:lvl w:ilvl="2" w:tplc="04150005" w:tentative="1">
      <w:start w:val="1"/>
      <w:numFmt w:val="bullet"/>
      <w:lvlText w:val=""/>
      <w:lvlJc w:val="left"/>
      <w:pPr>
        <w:ind w:left="3150" w:hanging="360"/>
      </w:pPr>
      <w:rPr>
        <w:rFonts w:ascii="Wingdings" w:hAnsi="Wingdings" w:hint="default"/>
      </w:rPr>
    </w:lvl>
    <w:lvl w:ilvl="3" w:tplc="04150001" w:tentative="1">
      <w:start w:val="1"/>
      <w:numFmt w:val="bullet"/>
      <w:lvlText w:val=""/>
      <w:lvlJc w:val="left"/>
      <w:pPr>
        <w:ind w:left="3870" w:hanging="360"/>
      </w:pPr>
      <w:rPr>
        <w:rFonts w:ascii="Symbol" w:hAnsi="Symbol" w:hint="default"/>
      </w:rPr>
    </w:lvl>
    <w:lvl w:ilvl="4" w:tplc="04150003" w:tentative="1">
      <w:start w:val="1"/>
      <w:numFmt w:val="bullet"/>
      <w:lvlText w:val="o"/>
      <w:lvlJc w:val="left"/>
      <w:pPr>
        <w:ind w:left="4590" w:hanging="360"/>
      </w:pPr>
      <w:rPr>
        <w:rFonts w:ascii="Courier New" w:hAnsi="Courier New" w:cs="Courier New" w:hint="default"/>
      </w:rPr>
    </w:lvl>
    <w:lvl w:ilvl="5" w:tplc="04150005" w:tentative="1">
      <w:start w:val="1"/>
      <w:numFmt w:val="bullet"/>
      <w:lvlText w:val=""/>
      <w:lvlJc w:val="left"/>
      <w:pPr>
        <w:ind w:left="5310" w:hanging="360"/>
      </w:pPr>
      <w:rPr>
        <w:rFonts w:ascii="Wingdings" w:hAnsi="Wingdings" w:hint="default"/>
      </w:rPr>
    </w:lvl>
    <w:lvl w:ilvl="6" w:tplc="04150001" w:tentative="1">
      <w:start w:val="1"/>
      <w:numFmt w:val="bullet"/>
      <w:lvlText w:val=""/>
      <w:lvlJc w:val="left"/>
      <w:pPr>
        <w:ind w:left="6030" w:hanging="360"/>
      </w:pPr>
      <w:rPr>
        <w:rFonts w:ascii="Symbol" w:hAnsi="Symbol" w:hint="default"/>
      </w:rPr>
    </w:lvl>
    <w:lvl w:ilvl="7" w:tplc="04150003" w:tentative="1">
      <w:start w:val="1"/>
      <w:numFmt w:val="bullet"/>
      <w:lvlText w:val="o"/>
      <w:lvlJc w:val="left"/>
      <w:pPr>
        <w:ind w:left="6750" w:hanging="360"/>
      </w:pPr>
      <w:rPr>
        <w:rFonts w:ascii="Courier New" w:hAnsi="Courier New" w:cs="Courier New" w:hint="default"/>
      </w:rPr>
    </w:lvl>
    <w:lvl w:ilvl="8" w:tplc="04150005" w:tentative="1">
      <w:start w:val="1"/>
      <w:numFmt w:val="bullet"/>
      <w:lvlText w:val=""/>
      <w:lvlJc w:val="left"/>
      <w:pPr>
        <w:ind w:left="7470" w:hanging="360"/>
      </w:pPr>
      <w:rPr>
        <w:rFonts w:ascii="Wingdings" w:hAnsi="Wingdings" w:hint="default"/>
      </w:rPr>
    </w:lvl>
  </w:abstractNum>
  <w:abstractNum w:abstractNumId="25" w15:restartNumberingAfterBreak="0">
    <w:nsid w:val="79046BDA"/>
    <w:multiLevelType w:val="multilevel"/>
    <w:tmpl w:val="FD6CD888"/>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num w:numId="1" w16cid:durableId="808788223">
    <w:abstractNumId w:val="11"/>
  </w:num>
  <w:num w:numId="2" w16cid:durableId="1502161260">
    <w:abstractNumId w:val="3"/>
  </w:num>
  <w:num w:numId="3" w16cid:durableId="1069186736">
    <w:abstractNumId w:val="8"/>
  </w:num>
  <w:num w:numId="4" w16cid:durableId="1795325916">
    <w:abstractNumId w:val="13"/>
  </w:num>
  <w:num w:numId="5" w16cid:durableId="125853530">
    <w:abstractNumId w:val="0"/>
  </w:num>
  <w:num w:numId="6" w16cid:durableId="1882554111">
    <w:abstractNumId w:val="9"/>
  </w:num>
  <w:num w:numId="7" w16cid:durableId="713776300">
    <w:abstractNumId w:val="15"/>
  </w:num>
  <w:num w:numId="8" w16cid:durableId="710229116">
    <w:abstractNumId w:val="14"/>
  </w:num>
  <w:num w:numId="9" w16cid:durableId="579683952">
    <w:abstractNumId w:val="20"/>
  </w:num>
  <w:num w:numId="10" w16cid:durableId="1767726774">
    <w:abstractNumId w:val="26"/>
  </w:num>
  <w:num w:numId="11" w16cid:durableId="1194002505">
    <w:abstractNumId w:val="10"/>
  </w:num>
  <w:num w:numId="12" w16cid:durableId="939021208">
    <w:abstractNumId w:val="23"/>
  </w:num>
  <w:num w:numId="13" w16cid:durableId="22445237">
    <w:abstractNumId w:val="18"/>
  </w:num>
  <w:num w:numId="14" w16cid:durableId="1633704945">
    <w:abstractNumId w:val="22"/>
  </w:num>
  <w:num w:numId="15" w16cid:durableId="1399086951">
    <w:abstractNumId w:val="21"/>
  </w:num>
  <w:num w:numId="16" w16cid:durableId="2049109">
    <w:abstractNumId w:val="5"/>
  </w:num>
  <w:num w:numId="17" w16cid:durableId="1981812223">
    <w:abstractNumId w:val="12"/>
  </w:num>
  <w:num w:numId="18" w16cid:durableId="490365873">
    <w:abstractNumId w:val="6"/>
  </w:num>
  <w:num w:numId="19" w16cid:durableId="887643055">
    <w:abstractNumId w:val="7"/>
  </w:num>
  <w:num w:numId="20" w16cid:durableId="407046674">
    <w:abstractNumId w:val="1"/>
  </w:num>
  <w:num w:numId="21" w16cid:durableId="222103782">
    <w:abstractNumId w:val="4"/>
  </w:num>
  <w:num w:numId="22" w16cid:durableId="977077493">
    <w:abstractNumId w:val="17"/>
  </w:num>
  <w:num w:numId="23" w16cid:durableId="1370489223">
    <w:abstractNumId w:val="16"/>
  </w:num>
  <w:num w:numId="24" w16cid:durableId="1174689667">
    <w:abstractNumId w:val="25"/>
  </w:num>
  <w:num w:numId="25" w16cid:durableId="1400712271">
    <w:abstractNumId w:val="2"/>
  </w:num>
  <w:num w:numId="26" w16cid:durableId="33971628">
    <w:abstractNumId w:val="19"/>
  </w:num>
  <w:num w:numId="27" w16cid:durableId="1499618826">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27981"/>
    <w:rsid w:val="00033582"/>
    <w:rsid w:val="00036B40"/>
    <w:rsid w:val="00036D76"/>
    <w:rsid w:val="00040B6D"/>
    <w:rsid w:val="00051B85"/>
    <w:rsid w:val="00051C2B"/>
    <w:rsid w:val="00054A92"/>
    <w:rsid w:val="00056904"/>
    <w:rsid w:val="000572D8"/>
    <w:rsid w:val="00057816"/>
    <w:rsid w:val="00060EAD"/>
    <w:rsid w:val="00061676"/>
    <w:rsid w:val="00070A58"/>
    <w:rsid w:val="00071C98"/>
    <w:rsid w:val="0009045E"/>
    <w:rsid w:val="00094799"/>
    <w:rsid w:val="00094EB9"/>
    <w:rsid w:val="00096510"/>
    <w:rsid w:val="000974B1"/>
    <w:rsid w:val="000A4B07"/>
    <w:rsid w:val="000B0DBD"/>
    <w:rsid w:val="000C47A9"/>
    <w:rsid w:val="000C679C"/>
    <w:rsid w:val="000D42BE"/>
    <w:rsid w:val="000D5886"/>
    <w:rsid w:val="000E1564"/>
    <w:rsid w:val="00101BCF"/>
    <w:rsid w:val="00104502"/>
    <w:rsid w:val="0010607D"/>
    <w:rsid w:val="001112C2"/>
    <w:rsid w:val="00124536"/>
    <w:rsid w:val="00125A7F"/>
    <w:rsid w:val="00126CEA"/>
    <w:rsid w:val="00132B64"/>
    <w:rsid w:val="001361E9"/>
    <w:rsid w:val="00136B64"/>
    <w:rsid w:val="0014036E"/>
    <w:rsid w:val="00145125"/>
    <w:rsid w:val="0014785F"/>
    <w:rsid w:val="00167B53"/>
    <w:rsid w:val="00172B93"/>
    <w:rsid w:val="00175F4C"/>
    <w:rsid w:val="00185AAB"/>
    <w:rsid w:val="00192A23"/>
    <w:rsid w:val="001974F6"/>
    <w:rsid w:val="001A2A0C"/>
    <w:rsid w:val="001A4996"/>
    <w:rsid w:val="001B0061"/>
    <w:rsid w:val="001D1A8B"/>
    <w:rsid w:val="001D2EB1"/>
    <w:rsid w:val="001E7E73"/>
    <w:rsid w:val="001F3242"/>
    <w:rsid w:val="001F3600"/>
    <w:rsid w:val="001F3F20"/>
    <w:rsid w:val="001F737A"/>
    <w:rsid w:val="002067F1"/>
    <w:rsid w:val="00212FD0"/>
    <w:rsid w:val="00224257"/>
    <w:rsid w:val="0024291C"/>
    <w:rsid w:val="00243739"/>
    <w:rsid w:val="00257F22"/>
    <w:rsid w:val="00264A06"/>
    <w:rsid w:val="00265B9D"/>
    <w:rsid w:val="00270752"/>
    <w:rsid w:val="002743D5"/>
    <w:rsid w:val="002768AC"/>
    <w:rsid w:val="00286082"/>
    <w:rsid w:val="002958A7"/>
    <w:rsid w:val="002A3129"/>
    <w:rsid w:val="002A48F7"/>
    <w:rsid w:val="002B5B5C"/>
    <w:rsid w:val="002B5C62"/>
    <w:rsid w:val="002B77D0"/>
    <w:rsid w:val="002C470F"/>
    <w:rsid w:val="002D4CAD"/>
    <w:rsid w:val="002F10CA"/>
    <w:rsid w:val="00303C67"/>
    <w:rsid w:val="00310CB3"/>
    <w:rsid w:val="003254C3"/>
    <w:rsid w:val="00347E8D"/>
    <w:rsid w:val="0036182B"/>
    <w:rsid w:val="00362C4E"/>
    <w:rsid w:val="00366FFB"/>
    <w:rsid w:val="00371A75"/>
    <w:rsid w:val="00375780"/>
    <w:rsid w:val="00380557"/>
    <w:rsid w:val="00381365"/>
    <w:rsid w:val="00385A7C"/>
    <w:rsid w:val="00387A0D"/>
    <w:rsid w:val="003903C2"/>
    <w:rsid w:val="00395F60"/>
    <w:rsid w:val="003A2072"/>
    <w:rsid w:val="003A448C"/>
    <w:rsid w:val="003A4CC6"/>
    <w:rsid w:val="003A5D11"/>
    <w:rsid w:val="003A7C03"/>
    <w:rsid w:val="003B43F5"/>
    <w:rsid w:val="003B66FE"/>
    <w:rsid w:val="003C22FB"/>
    <w:rsid w:val="003D41B4"/>
    <w:rsid w:val="003D4FEB"/>
    <w:rsid w:val="003D6C11"/>
    <w:rsid w:val="003E050D"/>
    <w:rsid w:val="003E3CCB"/>
    <w:rsid w:val="003E59DD"/>
    <w:rsid w:val="003F132F"/>
    <w:rsid w:val="003F257A"/>
    <w:rsid w:val="003F7633"/>
    <w:rsid w:val="0040472A"/>
    <w:rsid w:val="00412E5B"/>
    <w:rsid w:val="00417E23"/>
    <w:rsid w:val="004257E0"/>
    <w:rsid w:val="004367FB"/>
    <w:rsid w:val="00436F85"/>
    <w:rsid w:val="0044629B"/>
    <w:rsid w:val="00446871"/>
    <w:rsid w:val="00446E2F"/>
    <w:rsid w:val="00463679"/>
    <w:rsid w:val="004644EA"/>
    <w:rsid w:val="00466493"/>
    <w:rsid w:val="00473D75"/>
    <w:rsid w:val="0047759A"/>
    <w:rsid w:val="004906BC"/>
    <w:rsid w:val="004925D9"/>
    <w:rsid w:val="00492AEE"/>
    <w:rsid w:val="00496273"/>
    <w:rsid w:val="004A723C"/>
    <w:rsid w:val="004B29F9"/>
    <w:rsid w:val="004C2303"/>
    <w:rsid w:val="004C5DB2"/>
    <w:rsid w:val="004D154B"/>
    <w:rsid w:val="004D63D5"/>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330A"/>
    <w:rsid w:val="005E4AA3"/>
    <w:rsid w:val="005E79E5"/>
    <w:rsid w:val="005F23E1"/>
    <w:rsid w:val="006217FD"/>
    <w:rsid w:val="00623B01"/>
    <w:rsid w:val="006240E4"/>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757B5"/>
    <w:rsid w:val="00783D03"/>
    <w:rsid w:val="007844EB"/>
    <w:rsid w:val="00784DC3"/>
    <w:rsid w:val="00787D9C"/>
    <w:rsid w:val="00793409"/>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37B4D"/>
    <w:rsid w:val="00841871"/>
    <w:rsid w:val="00842578"/>
    <w:rsid w:val="00847B49"/>
    <w:rsid w:val="00852695"/>
    <w:rsid w:val="008548B7"/>
    <w:rsid w:val="00857549"/>
    <w:rsid w:val="008707CC"/>
    <w:rsid w:val="00880115"/>
    <w:rsid w:val="00884D47"/>
    <w:rsid w:val="008A7413"/>
    <w:rsid w:val="008A7CE0"/>
    <w:rsid w:val="008B6316"/>
    <w:rsid w:val="008C619A"/>
    <w:rsid w:val="008C6CC4"/>
    <w:rsid w:val="008C74CA"/>
    <w:rsid w:val="008C75AB"/>
    <w:rsid w:val="008D0EB4"/>
    <w:rsid w:val="008D4A70"/>
    <w:rsid w:val="008D6A33"/>
    <w:rsid w:val="008D6FD3"/>
    <w:rsid w:val="008E2EA9"/>
    <w:rsid w:val="008E41A4"/>
    <w:rsid w:val="008E4838"/>
    <w:rsid w:val="008F17DA"/>
    <w:rsid w:val="008F1FB0"/>
    <w:rsid w:val="008F6441"/>
    <w:rsid w:val="008F72E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356"/>
    <w:rsid w:val="00972B41"/>
    <w:rsid w:val="009825D0"/>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3019"/>
    <w:rsid w:val="009E5B5E"/>
    <w:rsid w:val="009E7A66"/>
    <w:rsid w:val="00A02C84"/>
    <w:rsid w:val="00A148D6"/>
    <w:rsid w:val="00A370AB"/>
    <w:rsid w:val="00A43299"/>
    <w:rsid w:val="00A467CA"/>
    <w:rsid w:val="00A5134A"/>
    <w:rsid w:val="00A57E04"/>
    <w:rsid w:val="00A6049B"/>
    <w:rsid w:val="00A62B4C"/>
    <w:rsid w:val="00A730B9"/>
    <w:rsid w:val="00A7626A"/>
    <w:rsid w:val="00A809BD"/>
    <w:rsid w:val="00A81CFB"/>
    <w:rsid w:val="00A8563B"/>
    <w:rsid w:val="00A85D6F"/>
    <w:rsid w:val="00AA134E"/>
    <w:rsid w:val="00AA3417"/>
    <w:rsid w:val="00AB5621"/>
    <w:rsid w:val="00AB78A2"/>
    <w:rsid w:val="00AC4A8D"/>
    <w:rsid w:val="00AC5A4C"/>
    <w:rsid w:val="00AD5D81"/>
    <w:rsid w:val="00AE1A85"/>
    <w:rsid w:val="00AE5E48"/>
    <w:rsid w:val="00AF30DB"/>
    <w:rsid w:val="00AF78FE"/>
    <w:rsid w:val="00AF7E7E"/>
    <w:rsid w:val="00B00CE4"/>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63B3"/>
    <w:rsid w:val="00B67333"/>
    <w:rsid w:val="00B67D39"/>
    <w:rsid w:val="00B67E4D"/>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16F3"/>
    <w:rsid w:val="00C12714"/>
    <w:rsid w:val="00C13454"/>
    <w:rsid w:val="00C20678"/>
    <w:rsid w:val="00C224EE"/>
    <w:rsid w:val="00C23F3E"/>
    <w:rsid w:val="00C26BC0"/>
    <w:rsid w:val="00C272AD"/>
    <w:rsid w:val="00C27B9D"/>
    <w:rsid w:val="00C348F8"/>
    <w:rsid w:val="00C45F7E"/>
    <w:rsid w:val="00C5009D"/>
    <w:rsid w:val="00C53A22"/>
    <w:rsid w:val="00C55EC1"/>
    <w:rsid w:val="00C64A07"/>
    <w:rsid w:val="00C6569B"/>
    <w:rsid w:val="00C66B9A"/>
    <w:rsid w:val="00C707D1"/>
    <w:rsid w:val="00C737A1"/>
    <w:rsid w:val="00C77BCF"/>
    <w:rsid w:val="00C8188B"/>
    <w:rsid w:val="00C874E6"/>
    <w:rsid w:val="00CB2D26"/>
    <w:rsid w:val="00CB3A6F"/>
    <w:rsid w:val="00CD2022"/>
    <w:rsid w:val="00CE2F55"/>
    <w:rsid w:val="00CF5719"/>
    <w:rsid w:val="00D03C12"/>
    <w:rsid w:val="00D10930"/>
    <w:rsid w:val="00D1247E"/>
    <w:rsid w:val="00D21BCE"/>
    <w:rsid w:val="00D36346"/>
    <w:rsid w:val="00D42C61"/>
    <w:rsid w:val="00D516C1"/>
    <w:rsid w:val="00D6344F"/>
    <w:rsid w:val="00D80E4A"/>
    <w:rsid w:val="00D8328D"/>
    <w:rsid w:val="00D9793B"/>
    <w:rsid w:val="00DA64DB"/>
    <w:rsid w:val="00DB1E5E"/>
    <w:rsid w:val="00DB2BFF"/>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1FC8"/>
    <w:rsid w:val="00E72CD1"/>
    <w:rsid w:val="00E8041E"/>
    <w:rsid w:val="00E818CE"/>
    <w:rsid w:val="00E92F67"/>
    <w:rsid w:val="00E95B91"/>
    <w:rsid w:val="00EA6557"/>
    <w:rsid w:val="00EA6B97"/>
    <w:rsid w:val="00EB216E"/>
    <w:rsid w:val="00EC07C0"/>
    <w:rsid w:val="00EC22FA"/>
    <w:rsid w:val="00EC30C5"/>
    <w:rsid w:val="00ED2FD4"/>
    <w:rsid w:val="00EE5E2C"/>
    <w:rsid w:val="00F01E75"/>
    <w:rsid w:val="00F21DD8"/>
    <w:rsid w:val="00F25128"/>
    <w:rsid w:val="00F31641"/>
    <w:rsid w:val="00F32BD1"/>
    <w:rsid w:val="00F377D2"/>
    <w:rsid w:val="00F40848"/>
    <w:rsid w:val="00F4718C"/>
    <w:rsid w:val="00F527EB"/>
    <w:rsid w:val="00F57F56"/>
    <w:rsid w:val="00F65859"/>
    <w:rsid w:val="00F664AA"/>
    <w:rsid w:val="00F71902"/>
    <w:rsid w:val="00F724BA"/>
    <w:rsid w:val="00F751D8"/>
    <w:rsid w:val="00F81046"/>
    <w:rsid w:val="00F835B4"/>
    <w:rsid w:val="00F90B96"/>
    <w:rsid w:val="00FA0F6A"/>
    <w:rsid w:val="00FB0646"/>
    <w:rsid w:val="00FB61C7"/>
    <w:rsid w:val="00FC7BB0"/>
    <w:rsid w:val="00FD22AB"/>
    <w:rsid w:val="00FD2808"/>
    <w:rsid w:val="00FD2A5B"/>
    <w:rsid w:val="00FD3338"/>
    <w:rsid w:val="00FD4B8D"/>
    <w:rsid w:val="00FE04AC"/>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 w:type="paragraph" w:styleId="Tekstpodstawowy2">
    <w:name w:val="Body Text 2"/>
    <w:basedOn w:val="Normalny"/>
    <w:link w:val="Tekstpodstawowy2Znak"/>
    <w:uiPriority w:val="99"/>
    <w:unhideWhenUsed/>
    <w:rsid w:val="00FE04AC"/>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FE04AC"/>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dokumenty-do-pobrania"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 część 4.docx</dmsv2BaseFileName>
    <dmsv2BaseDisplayName xmlns="http://schemas.microsoft.com/sharepoint/v3">Załącznik nr 1 do SWZ - OPZ - część 4</dmsv2BaseDisplayName>
    <dmsv2SWPP2ObjectNumber xmlns="http://schemas.microsoft.com/sharepoint/v3">POST/DYS/OLD/GZ/00142/2026                        </dmsv2SWPP2ObjectNumber>
    <dmsv2SWPP2SumMD5 xmlns="http://schemas.microsoft.com/sharepoint/v3">4a95aaed651395555ae55bf25287e819</dmsv2SWPP2SumMD5>
    <dmsv2BaseMoved xmlns="http://schemas.microsoft.com/sharepoint/v3">false</dmsv2BaseMoved>
    <dmsv2BaseIsSensitive xmlns="http://schemas.microsoft.com/sharepoint/v3">true</dmsv2BaseIsSensitive>
    <dmsv2SWPP2IDSWPP2 xmlns="http://schemas.microsoft.com/sharepoint/v3">703834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24161484</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JEUP5JKVCYQC-1092029480-19052</_dlc_DocId>
    <_dlc_DocIdUrl xmlns="a19cb1c7-c5c7-46d4-85ae-d83685407bba">
      <Url>https://swpp2.dms.gkpge.pl/sites/41/_layouts/15/DocIdRedir.aspx?ID=JEUP5JKVCYQC-1092029480-19052</Url>
      <Description>JEUP5JKVCYQC-1092029480-19052</Description>
    </_dlc_DocIdUrl>
  </documentManagement>
</p:properties>
</file>

<file path=customXml/itemProps1.xml><?xml version="1.0" encoding="utf-8"?>
<ds:datastoreItem xmlns:ds="http://schemas.openxmlformats.org/officeDocument/2006/customXml" ds:itemID="{4D25E39D-411D-468F-AEEF-E5B093AA861D}">
  <ds:schemaRefs>
    <ds:schemaRef ds:uri="http://schemas.openxmlformats.org/officeDocument/2006/bibliography"/>
  </ds:schemaRefs>
</ds:datastoreItem>
</file>

<file path=customXml/itemProps2.xml><?xml version="1.0" encoding="utf-8"?>
<ds:datastoreItem xmlns:ds="http://schemas.openxmlformats.org/officeDocument/2006/customXml" ds:itemID="{673BD007-99A8-4A2F-B197-86E07F8B50ED}"/>
</file>

<file path=customXml/itemProps3.xml><?xml version="1.0" encoding="utf-8"?>
<ds:datastoreItem xmlns:ds="http://schemas.openxmlformats.org/officeDocument/2006/customXml" ds:itemID="{B21153B2-44AE-420F-81C8-CF0CF422E061}">
  <ds:schemaRefs>
    <ds:schemaRef ds:uri="http://schemas.microsoft.com/sharepoint/events"/>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PGE word swz test.dotx</Template>
  <TotalTime>166</TotalTime>
  <Pages>5</Pages>
  <Words>2117</Words>
  <Characters>12706</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14794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Goc-Moszyńska Magdalena [PGE Dystr. O.Łódź]</cp:lastModifiedBy>
  <cp:revision>28</cp:revision>
  <cp:lastPrinted>2024-07-15T11:21:00Z</cp:lastPrinted>
  <dcterms:created xsi:type="dcterms:W3CDTF">2025-10-01T10:46:00Z</dcterms:created>
  <dcterms:modified xsi:type="dcterms:W3CDTF">2026-01-20T11:45:00Z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9c3e2d9e-a7dd-48f5-997b-c6b8066c8380</vt:lpwstr>
  </property>
</Properties>
</file>